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IN THE UNITED STATES DISTRICT COURT</w:t>
      </w:r>
    </w:p>
    <w:p>
      <w:pPr>
        <w:jc w:val="center"/>
      </w:pPr>
      <w:r>
        <w:rPr>
          <w:b/>
          <w:bCs/>
        </w:rPr>
        <w:t xml:space="preserve">FOR THE SOUTHERN DISTRICT OF NEW YORK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t xml:space="preserve">MARIA OKONKWO, et al.,</w:t>
            </w:r>
          </w:p>
          <w:p>
            <w:r>
              <w:t xml:space="preserve">            Plaintiffs,</w:t>
            </w:r>
          </w:p>
          <w:p>
            <w:r>
              <w:t xml:space="preserve">v.</w:t>
            </w:r>
          </w:p>
          <w:p>
            <w:r>
              <w:t xml:space="preserve">HORIZON GLOBAL INDUSTRIES INC.,</w:t>
            </w:r>
          </w:p>
          <w:p>
            <w:r>
              <w:t xml:space="preserve">            Defendant.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t xml:space="preserve">Case No. 26-CV-05182-DKM</w:t>
            </w:r>
          </w:p>
          <w:p>
            <w:r>
              <w:t xml:space="preserve"/>
            </w:r>
          </w:p>
          <w:p>
            <w:r>
              <w:t xml:space="preserve">Hon. Diana K. Marston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</w:rPr>
        <w:t xml:space="preserve">PLAINTIFFS' MEMORANDUM IN OPPOSITION TO MOTION TO DISMISS</w:t>
      </w:r>
    </w:p>
    <w:p>
      <w:r>
        <w:t xml:space="preserve"/>
      </w:r>
    </w:p>
    <w:p>
      <w:r>
        <w:rPr>
          <w:b/>
          <w:bCs/>
        </w:rPr>
        <w:t xml:space="preserve">INTRODUCTION</w:t>
      </w:r>
    </w:p>
    <w:p>
      <w:pPr>
        <w:jc w:val="both"/>
      </w:pPr>
      <w:r>
        <w:t xml:space="preserve">        This case arises from violations of fundamental human rights protected under both U.S. and international law. The governing treaty obligations are well-established. </w:t>
      </w:r>
      <w:r>
        <w:rPr>
          <w:i/>
          <w:iCs/>
        </w:rPr>
        <w:t xml:space="preserve">See</w:t>
      </w:r>
      <w:r>
        <w:t xml:space="preserve"> International Covenant on Civil and Political Rights art. 7, Dec. 16, 1966, 999 U.N.T.S. 171. </w:t>
      </w:r>
      <w:r>
        <w:t xml:space="preserve">English courts have long recognized analogous obligations. </w:t>
      </w:r>
      <w:r>
        <w:rPr>
          <w:i/>
          <w:iCs/>
        </w:rPr>
        <w:t xml:space="preserve">See Donoghue v. Stevenson</w:t>
      </w:r>
      <w:r>
        <w:t xml:space="preserve"> [1932] AC 562 (HL) (appeal taken from Scot.). </w:t>
      </w:r>
      <w:r>
        <w:t xml:space="preserve">This Court should deny Defendant's motion.</w:t>
      </w:r>
    </w:p>
    <w:p>
      <w:r>
        <w:t xml:space="preserve"/>
      </w:r>
    </w:p>
    <w:p>
      <w:r>
        <w:rPr>
          <w:b/>
          <w:bCs/>
        </w:rPr>
        <w:t xml:space="preserve">ARGUMENT</w:t>
      </w:r>
    </w:p>
    <w:p>
      <w:r>
        <w:t xml:space="preserve"/>
      </w:r>
    </w:p>
    <w:p>
      <w:r>
        <w:rPr>
          <w:b/>
          <w:bCs/>
        </w:rPr>
        <w:t xml:space="preserve">I.  Foreign Authority Confirms Plaintiffs' Theory of Liability</w:t>
      </w:r>
    </w:p>
    <w:p>
      <w:pPr>
        <w:jc w:val="both"/>
      </w:pPr>
      <w:r>
        <w:t xml:space="preserve">        The Supreme Court of Canada has addressed analogous facts. </w:t>
      </w:r>
      <w:r>
        <w:rPr>
          <w:i/>
          <w:iCs/>
        </w:rPr>
        <w:t xml:space="preserve">See Anns v. Merton London Borough Council</w:t>
      </w:r>
      <w:r>
        <w:t xml:space="preserve"> [1978] AC 728 (HL) (Eng.). </w:t>
      </w:r>
      <w:r>
        <w:t xml:space="preserve">Subsequent UK authority refines the doctrine. </w:t>
      </w:r>
      <w:r>
        <w:rPr>
          <w:i/>
          <w:iCs/>
        </w:rPr>
        <w:t xml:space="preserve">See Caparo Industries plc v. Dickman</w:t>
      </w:r>
      <w:r>
        <w:t xml:space="preserve"> [1990] 2 AC 605. </w:t>
      </w:r>
      <w:r>
        <w:t xml:space="preserve">Other common-law jurisdictions agree. </w:t>
      </w:r>
      <w:r>
        <w:rPr>
          <w:i/>
          <w:iCs/>
        </w:rPr>
        <w:t xml:space="preserve">See Sullivan v. Moody</w:t>
      </w:r>
      <w:r>
        <w:t xml:space="preserve"> (2001) 207 CLR 562 (Austl.). </w:t>
      </w:r>
      <w:r>
        <w:t xml:space="preserve">Civil-law authorities reach the same conclusion. </w:t>
      </w:r>
      <w:r>
        <w:rPr>
          <w:i/>
          <w:iCs/>
        </w:rPr>
        <w:t xml:space="preserve">See Cass. civ. 1re</w:t>
      </w:r>
      <w:r>
        <w:t xml:space="preserve">, May 18, 2011, Bull. civ. I, No. 91. </w:t>
      </w:r>
      <w:r>
        <w:t xml:space="preserve">German jurisprudence is in accord. </w:t>
      </w:r>
      <w:r>
        <w:rPr>
          <w:i/>
          <w:iCs/>
        </w:rPr>
        <w:t xml:space="preserve">See Bundesgerichtshof</w:t>
      </w:r>
      <w:r>
        <w:t xml:space="preserve"> [BGH] [Federal Court of Justice] Mar. 12, 2018, 218 Entscheidungen des Bundesgerichtshofes in Zivilsachen [BGHZ] 145, 152 (Ger.).</w:t>
      </w:r>
    </w:p>
    <w:p>
      <w:r>
        <w:t xml:space="preserve"/>
      </w:r>
    </w:p>
    <w:p>
      <w:r>
        <w:rPr>
          <w:b/>
          <w:bCs/>
        </w:rPr>
        <w:t xml:space="preserve">II.  Multilateral Treaties Establish Defendant's Obligations</w:t>
      </w:r>
    </w:p>
    <w:p>
      <w:pPr>
        <w:jc w:val="both"/>
      </w:pPr>
      <w:r>
        <w:t xml:space="preserve">        The Convention against Torture is binding on the United States. </w:t>
      </w:r>
      <w:r>
        <w:rPr>
          <w:i/>
          <w:iCs/>
        </w:rPr>
        <w:t xml:space="preserve">See</w:t>
      </w:r>
      <w:r>
        <w:t xml:space="preserve"> Convention against Torture and Other Cruel, Inhuman or Degrading Treatment or Punishment art. 14, Dec. 10, 1984, 1465 U.N.T.S. 85 [hereinafter CAT]. </w:t>
      </w:r>
      <w:r>
        <w:t xml:space="preserve">Article 14 of CAT requires effective remedies. CAT, </w:t>
      </w:r>
      <w:r>
        <w:rPr>
          <w:i/>
          <w:iCs/>
        </w:rPr>
        <w:t xml:space="preserve">supra</w:t>
      </w:r>
      <w:r>
        <w:t xml:space="preserve">, art. 14. </w:t>
      </w:r>
      <w:r>
        <w:t xml:space="preserve">The Vienna Convention on the Law of Treaties is also relevant. </w:t>
      </w:r>
      <w:r>
        <w:rPr>
          <w:i/>
          <w:iCs/>
        </w:rPr>
        <w:t xml:space="preserve">See</w:t>
      </w:r>
      <w:r>
        <w:t xml:space="preserve"> Vienna Convention on the Law of Treaties, 1155 U.N.T.S. 331. </w:t>
      </w:r>
      <w:r>
        <w:t xml:space="preserve">Bilateral obligations also apply. </w:t>
      </w:r>
      <w:r>
        <w:rPr>
          <w:i/>
          <w:iCs/>
        </w:rPr>
        <w:t xml:space="preserve">See</w:t>
      </w:r>
      <w:r>
        <w:t xml:space="preserve"> Treaty of Friendship, Commerce and Navigation, U.S.-Italy, Feb. 2, 1948. </w:t>
      </w:r>
      <w:r>
        <w:t xml:space="preserve">Earlier agreements are similar. </w:t>
      </w:r>
      <w:r>
        <w:rPr>
          <w:i/>
          <w:iCs/>
        </w:rPr>
        <w:t xml:space="preserve">See</w:t>
      </w:r>
      <w:r>
        <w:t xml:space="preserve"> Treaty of Amity, Commerce and Navigation, U.S.-Gr. Brit., Nov. 19, 1794, 8 Stat. 116.</w:t>
      </w:r>
    </w:p>
    <w:p>
      <w:r>
        <w:t xml:space="preserve"/>
      </w:r>
    </w:p>
    <w:p>
      <w:r>
        <w:rPr>
          <w:b/>
          <w:bCs/>
        </w:rPr>
        <w:t xml:space="preserve">III.  International Tribunals Have Recognized the Norm</w:t>
      </w:r>
    </w:p>
    <w:p>
      <w:pPr>
        <w:jc w:val="both"/>
      </w:pPr>
      <w:r>
        <w:t xml:space="preserve">        The International Court of Justice has spoken on the matter. </w:t>
      </w:r>
      <w:r>
        <w:rPr>
          <w:i/>
          <w:iCs/>
        </w:rPr>
        <w:t xml:space="preserve">See Barcelona Traction, Light &amp; Power Co.</w:t>
      </w:r>
      <w:r>
        <w:t xml:space="preserve"> (Belg. v. Spain), Judgment, 1970 I.C.J. 3 (Feb. 5). </w:t>
      </w:r>
      <w:r>
        <w:t xml:space="preserve">The international criminal tribunals reached similar conclusions. </w:t>
      </w:r>
      <w:r>
        <w:rPr>
          <w:i/>
          <w:iCs/>
        </w:rPr>
        <w:t xml:space="preserve">See Prosecutor v. Tadić</w:t>
      </w:r>
      <w:r>
        <w:t xml:space="preserve">, Case No. IT-94-1-A, Appeals Chamber Judgment (Int'l Crim. Trib. for the Former Yugoslavia July 15, 1999). </w:t>
      </w:r>
      <w:r>
        <w:t xml:space="preserve">More recent ICJ authority is also instructive. </w:t>
      </w:r>
      <w:r>
        <w:rPr>
          <w:i/>
          <w:iCs/>
        </w:rPr>
        <w:t xml:space="preserve">See Jurisdictional Immunities of the State</w:t>
      </w:r>
      <w:r>
        <w:t xml:space="preserve"> (Ger. v. It.), Judgment, 2012 I.C.J. 99. </w:t>
      </w:r>
      <w:r>
        <w:t xml:space="preserve">The European Court of Human Rights has addressed analogous claims. </w:t>
      </w:r>
      <w:r>
        <w:rPr>
          <w:i/>
          <w:iCs/>
        </w:rPr>
        <w:t xml:space="preserve">See Soering v. United Kingdom</w:t>
      </w:r>
      <w:r>
        <w:t xml:space="preserve">, App. No. 14038/88, 161 Eur. Ct. H.R. (ser. A) (1989). </w:t>
      </w:r>
      <w:r>
        <w:t xml:space="preserve">Subsequent decisions refine the doctrine. </w:t>
      </w:r>
      <w:r>
        <w:rPr>
          <w:i/>
          <w:iCs/>
        </w:rPr>
        <w:t xml:space="preserve">See Saadi v. Italy</w:t>
      </w:r>
      <w:r>
        <w:t xml:space="preserve">, 49 Eur. H.R. Rep. 30 (2008).</w:t>
      </w:r>
    </w:p>
    <w:p>
      <w:r>
        <w:t xml:space="preserve"/>
      </w:r>
    </w:p>
    <w:p>
      <w:r>
        <w:rPr>
          <w:b/>
          <w:bCs/>
        </w:rPr>
        <w:t xml:space="preserve">IV.  Specialized Federal Authorities Confirm the Analysis</w:t>
      </w:r>
    </w:p>
    <w:p>
      <w:pPr>
        <w:jc w:val="both"/>
      </w:pPr>
      <w:r>
        <w:t xml:space="preserve">        The Tax Court has addressed similar transactional questions. </w:t>
      </w:r>
      <w:r>
        <w:rPr>
          <w:i/>
          <w:iCs/>
        </w:rPr>
        <w:t xml:space="preserve">See Westwood Pharms. v. Comm'r</w:t>
      </w:r>
      <w:r>
        <w:t xml:space="preserve">, 142 T.C. 244, 251 (2014). </w:t>
      </w:r>
      <w:r>
        <w:t xml:space="preserve">Bankruptcy courts have reached related conclusions. </w:t>
      </w:r>
      <w:r>
        <w:rPr>
          <w:i/>
          <w:iCs/>
        </w:rPr>
        <w:t xml:space="preserve">See In re Adelphia Commc'ns Corp.</w:t>
      </w:r>
      <w:r>
        <w:t xml:space="preserve">, 359 B.R. 54, 67 (Bankr. S.D.N.Y. 2006). </w:t>
      </w:r>
      <w:r>
        <w:t xml:space="preserve">Memorandum decisions are also relevant. </w:t>
      </w:r>
      <w:r>
        <w:rPr>
          <w:i/>
          <w:iCs/>
        </w:rPr>
        <w:t xml:space="preserve">See Henderson v. Comm'r</w:t>
      </w:r>
      <w:r>
        <w:t xml:space="preserve">, T.C.M. 2015-145. </w:t>
      </w:r>
      <w:r>
        <w:t xml:space="preserve">Military justice authorities are in accord. </w:t>
      </w:r>
      <w:r>
        <w:rPr>
          <w:i/>
          <w:iCs/>
        </w:rPr>
        <w:t xml:space="preserve">See United States v. Anderson</w:t>
      </w:r>
      <w:r>
        <w:t xml:space="preserve">, 79 M.J. 200, 205 (C.A.A.F. 2019). </w:t>
      </w:r>
      <w:r>
        <w:t xml:space="preserve">Federal Claims jurisprudence supports Plaintiffs' position. </w:t>
      </w:r>
      <w:r>
        <w:rPr>
          <w:i/>
          <w:iCs/>
        </w:rPr>
        <w:t xml:space="preserve">See Aerolineas Argentinas v. United States</w:t>
      </w:r>
      <w:r>
        <w:t xml:space="preserve">, 77 F.3d 1564, 1572 (Fed. Cl. 1996).</w:t>
      </w:r>
    </w:p>
    <w:p>
      <w:r>
        <w:t xml:space="preserve"/>
      </w:r>
    </w:p>
    <w:p>
      <w:r>
        <w:rPr>
          <w:b/>
          <w:bCs/>
        </w:rPr>
        <w:t xml:space="preserve">V.  Standard of Review</w:t>
      </w:r>
    </w:p>
    <w:p>
      <w:pPr>
        <w:jc w:val="both"/>
      </w:pPr>
      <w:r>
        <w:t xml:space="preserve">        Defendant's motion fails under settled standards. </w:t>
      </w:r>
      <w:r>
        <w:rPr>
          <w:i/>
          <w:iCs/>
        </w:rPr>
        <w:t xml:space="preserve">See</w:t>
      </w:r>
      <w:r>
        <w:t xml:space="preserve"> Fed. R. Civ. P. 12(b)(6); </w:t>
      </w:r>
      <w:r>
        <w:rPr>
          <w:i/>
          <w:iCs/>
        </w:rPr>
        <w:t xml:space="preserve">Ashcroft v. Iqbal</w:t>
      </w:r>
      <w:r>
        <w:t xml:space="preserve">, 556 U.S. 662, 678 (2009); </w:t>
      </w:r>
      <w:r>
        <w:rPr>
          <w:i/>
          <w:iCs/>
        </w:rPr>
        <w:t xml:space="preserve">Bell Atl. Corp. v. Twombly</w:t>
      </w:r>
      <w:r>
        <w:t xml:space="preserve">, 550 U.S. 544, 555 (2007). The Court must accept all well-pleaded facts as true. </w:t>
      </w:r>
      <w:r>
        <w:rPr>
          <w:i/>
          <w:iCs/>
        </w:rPr>
        <w:t xml:space="preserve">Iqbal</w:t>
      </w:r>
      <w:r>
        <w:t xml:space="preserve">, 556 U.S. at 678. Federal-question jurisdiction is proper under 28 U.S.C. § 1331.</w:t>
      </w:r>
    </w:p>
    <w:p>
      <w:r>
        <w:t xml:space="preserve"/>
      </w:r>
    </w:p>
    <w:p>
      <w:r>
        <w:rPr>
          <w:b/>
          <w:bCs/>
        </w:rPr>
        <w:t xml:space="preserve">CONCLUSION</w:t>
      </w:r>
    </w:p>
    <w:p>
      <w:pPr>
        <w:jc w:val="both"/>
      </w:pPr>
      <w:r>
        <w:t xml:space="preserve">        For the foregoing reasons, Defendant's motion should be denied. </w:t>
      </w:r>
      <w:r>
        <w:rPr>
          <w:i/>
          <w:iCs/>
        </w:rPr>
        <w:t xml:space="preserve">See</w:t>
      </w:r>
      <w:r>
        <w:t xml:space="preserve"> Fed. R. Civ. P. 12(b)(6); CAT, </w:t>
      </w:r>
      <w:r>
        <w:rPr>
          <w:i/>
          <w:iCs/>
        </w:rPr>
        <w:t xml:space="preserve">supra</w:t>
      </w:r>
      <w:r>
        <w:t xml:space="preserve">, art. 14.</w:t>
      </w:r>
    </w:p>
    <w:p>
      <w:r>
        <w:t xml:space="preserve"/>
      </w:r>
    </w:p>
    <w:p>
      <w:r>
        <w:t xml:space="preserve">Respectfully submitted,</w:t>
      </w:r>
    </w:p>
    <w:p>
      <w:r>
        <w:t xml:space="preserve"/>
      </w:r>
    </w:p>
    <w:p>
      <w:r>
        <w:t xml:space="preserve">/s/ Counsel for Plaintiffs</w:t>
      </w:r>
    </w:p>
    <w:sectPr>
      <w:pgSz w:w="12240" w:h="15840" w:orient="portrait"/>
      <w:pgMar w:top="1224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2026-04-30T01:59:59.680Z</dcterms:created>
  <dcterms:modified xsi:type="dcterms:W3CDTF">2026-04-30T01:59:59.681Z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