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IN THE UNITED STATES DISTRICT COURT</w:t>
      </w:r>
    </w:p>
    <w:p>
      <w:pPr>
        <w:jc w:val="center"/>
      </w:pPr>
      <w:r>
        <w:rPr>
          <w:b/>
          <w:bCs/>
        </w:rPr>
        <w:t xml:space="preserve">FOR THE DISTRICT OF MASSACHUSETTS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t xml:space="preserve">TITAN AEROSPACE CORP.,</w:t>
            </w:r>
          </w:p>
          <w:p>
            <w:r>
              <w:t xml:space="preserve">            Plaintiff,</w:t>
            </w:r>
          </w:p>
          <w:p>
            <w:r>
              <w:t xml:space="preserve">v.</w:t>
            </w:r>
          </w:p>
          <w:p>
            <w:r>
              <w:t xml:space="preserve">NORTHWIND DEFENSE SYSTEMS LLC,</w:t>
            </w:r>
          </w:p>
          <w:p>
            <w:r>
              <w:t xml:space="preserve">            Defendant.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t xml:space="preserve">Case No. 26-CV-00834-MAB</w:t>
            </w:r>
          </w:p>
          <w:p>
            <w:r>
              <w:t xml:space="preserve"/>
            </w:r>
          </w:p>
          <w:p>
            <w:r>
              <w:t xml:space="preserve">Hon. Margaret A. Bryant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</w:rPr>
        <w:t xml:space="preserve">PLAINTIFF'S MEMORANDUM IN OPPOSITION TO MOTION TO DISMISS</w:t>
      </w:r>
    </w:p>
    <w:p>
      <w:r>
        <w:t xml:space="preserve"/>
      </w:r>
    </w:p>
    <w:p>
      <w:r>
        <w:rPr>
          <w:b/>
          <w:bCs/>
        </w:rPr>
        <w:t xml:space="preserve">INTRODUCTION</w:t>
      </w:r>
    </w:p>
    <w:p>
      <w:pPr>
        <w:jc w:val="both"/>
      </w:pPr>
      <w:r>
        <w:t xml:space="preserve">        Defendant's motion should be denied for three reasons. First, Plaintiff's complaint satisfies the federal pleading standard. </w:t>
      </w:r>
      <w:r>
        <w:rPr>
          <w:i/>
          <w:iCs/>
        </w:rPr>
        <w:t xml:space="preserve">See Conley v. Gibson</w:t>
      </w:r>
      <w:r>
        <w:t xml:space="preserve">, 355 U.S. 41, 45-46 (1957). Second, this Court has personal jurisdiction over Defendant. </w:t>
      </w:r>
      <w:r>
        <w:rPr>
          <w:i/>
          <w:iCs/>
        </w:rPr>
        <w:t xml:space="preserve">See World-Wide Volkswagen Corp. v. Woodson</w:t>
      </w:r>
      <w:r>
        <w:t xml:space="preserve">, 444 U.S. 286, 297 (1980). Third, Plaintiff's federal securities claim is amply pled. </w:t>
      </w:r>
      <w:r>
        <w:rPr>
          <w:i/>
          <w:iCs/>
        </w:rPr>
        <w:t xml:space="preserve">See Basic Inc. v. Levinson</w:t>
      </w:r>
      <w:r>
        <w:t xml:space="preserve">, 485 U.S. 224 (1988).</w:t>
      </w:r>
    </w:p>
    <w:p>
      <w:r>
        <w:t xml:space="preserve"/>
      </w:r>
    </w:p>
    <w:p>
      <w:r>
        <w:rPr>
          <w:b/>
          <w:bCs/>
        </w:rPr>
        <w:t xml:space="preserve">ARGUMENT</w:t>
      </w:r>
    </w:p>
    <w:p>
      <w:r>
        <w:t xml:space="preserve"/>
      </w:r>
    </w:p>
    <w:p>
      <w:r>
        <w:rPr>
          <w:b/>
          <w:bCs/>
        </w:rPr>
        <w:t xml:space="preserve">I.  Plaintiff Has Pled Facts Sufficient to State a Plausible Claim</w:t>
      </w:r>
    </w:p>
    <w:p>
      <w:pPr>
        <w:jc w:val="both"/>
      </w:pPr>
      <w:r>
        <w:t xml:space="preserve">        A complaint need only contain “a short and plain statement of the claim.” Fed R Civ P 8(a)(2). Liberal notice pleading governs. </w:t>
      </w:r>
      <w:r>
        <w:rPr>
          <w:i/>
          <w:iCs/>
        </w:rPr>
        <w:t xml:space="preserve">Erickson v. Pardus</w:t>
      </w:r>
      <w:r>
        <w:t xml:space="preserve">, 551 U.S. 89, 94 (2007). Even pro se complaints are entitled to deference at the motion-to-dismiss stage. </w:t>
      </w:r>
      <w:r>
        <w:rPr>
          <w:i/>
          <w:iCs/>
        </w:rPr>
        <w:t xml:space="preserve">See Skinner v Switzer</w:t>
      </w:r>
      <w:r>
        <w:t xml:space="preserve">, 562 US 521, 530 (2011).</w:t>
      </w:r>
    </w:p>
    <w:p>
      <w:r>
        <w:t xml:space="preserve"/>
      </w:r>
    </w:p>
    <w:p>
      <w:r>
        <w:rPr>
          <w:b/>
          <w:bCs/>
        </w:rPr>
        <w:t xml:space="preserve">II.  This Court Has Personal Jurisdiction Over Defendant</w:t>
      </w:r>
    </w:p>
    <w:p>
      <w:pPr>
        <w:jc w:val="both"/>
      </w:pPr>
      <w:r>
        <w:t xml:space="preserve">        General jurisdiction over a nonresident corporation requires contacts “so continuous and systematic as to render [it] essentially at home in the forum State.” </w:t>
      </w:r>
      <w:r>
        <w:rPr>
          <w:i/>
          <w:iCs/>
        </w:rPr>
        <w:t xml:space="preserve">Helicopteros Nacionales de Colombia, S.A. v. Hall</w:t>
      </w:r>
      <w:r>
        <w:t xml:space="preserve">, 466 U.S 408, 414 (1984). Defendant's repeated contracting in this District satisfies that standard. </w:t>
      </w:r>
      <w:r>
        <w:rPr>
          <w:i/>
          <w:iCs/>
        </w:rPr>
        <w:t xml:space="preserve">See Crestwood Industries Inc. v. Pinnacle Holdings, LLC</w:t>
      </w:r>
      <w:r>
        <w:t xml:space="preserve">, 482 F. Supp. 3d 217, 225 (D. Mass. 2020).</w:t>
      </w:r>
    </w:p>
    <w:p>
      <w:r>
        <w:t xml:space="preserve"/>
      </w:r>
    </w:p>
    <w:p>
      <w:r>
        <w:rPr>
          <w:b/>
          <w:bCs/>
        </w:rPr>
        <w:t xml:space="preserve">III.  Plaintiff's Federal Securities Fraud Claim Is Properly Pled</w:t>
      </w:r>
    </w:p>
    <w:p>
      <w:pPr>
        <w:jc w:val="both"/>
      </w:pPr>
      <w:r>
        <w:t xml:space="preserve">        Federal courts have recognized federal-question jurisdiction since the Republic's earliest days. </w:t>
      </w:r>
      <w:r>
        <w:rPr>
          <w:i/>
          <w:iCs/>
        </w:rPr>
        <w:t xml:space="preserve">See Cohens v. Virginia</w:t>
      </w:r>
      <w:r>
        <w:t xml:space="preserve">, 19 U.S. 264, 404 (1821); </w:t>
      </w:r>
      <w:r>
        <w:rPr>
          <w:i/>
          <w:iCs/>
        </w:rPr>
        <w:t xml:space="preserve">McCulloch v. Maryland</w:t>
      </w:r>
      <w:r>
        <w:t xml:space="preserve">, 17 U.S. (4 Wheat.) 316, 405 (1819). The “fraud on the market” theory remains good law. </w:t>
      </w:r>
      <w:r>
        <w:rPr>
          <w:i/>
          <w:iCs/>
        </w:rPr>
        <w:t xml:space="preserve">Halliburton Co. v. Erica P. John Fund, Inc.</w:t>
      </w:r>
      <w:r>
        <w:t xml:space="preserve">, 573 U.S. 258, 268 (2014). Scheme liability under § 10(b) is also actionable. </w:t>
      </w:r>
      <w:r>
        <w:rPr>
          <w:i/>
          <w:iCs/>
        </w:rPr>
        <w:t xml:space="preserve">Stoneridge Investment Partners, LLC v. Scientific-Atlanta Inc.</w:t>
      </w:r>
      <w:r>
        <w:t xml:space="preserve">, 552 US 148, 158 (2008). The materiality standard applies equally in civil and criminal contexts. </w:t>
      </w:r>
      <w:r>
        <w:rPr>
          <w:i/>
          <w:iCs/>
        </w:rPr>
        <w:t xml:space="preserve">Cf. Murphy vs. Smith</w:t>
      </w:r>
      <w:r>
        <w:t xml:space="preserve">, 583 U.S. 220, 226 (2018).</w:t>
      </w:r>
    </w:p>
    <w:p>
      <w:r>
        <w:t xml:space="preserve"/>
      </w:r>
    </w:p>
    <w:p>
      <w:r>
        <w:rPr>
          <w:b/>
          <w:bCs/>
        </w:rPr>
        <w:t xml:space="preserve">IV.  Consequential and Restitutionary Damages Are Recoverable</w:t>
      </w:r>
    </w:p>
    <w:p>
      <w:pPr>
        <w:jc w:val="both"/>
      </w:pPr>
      <w:r>
        <w:t xml:space="preserve">        Consequential damages are recoverable where foreseeable. </w:t>
      </w:r>
      <w:r>
        <w:rPr>
          <w:i/>
          <w:iCs/>
        </w:rPr>
        <w:t xml:space="preserve">See Globe Refining Co. v. Landa Cotton Oil Co.</w:t>
      </w:r>
      <w:r>
        <w:t xml:space="preserve">, 190 U.S. 540, 543 (1903); Restatement (Second) of Contracts § 351 (Am. L. Inst. 1981). Plaintiff also seeks restitutionary relief in the alternative. </w:t>
      </w:r>
      <w:r>
        <w:rPr>
          <w:i/>
          <w:iCs/>
        </w:rPr>
        <w:t xml:space="preserve">See</w:t>
      </w:r>
      <w:r>
        <w:t xml:space="preserve"> Restatement of Restitution and Unjust Enrichment § 1 (Am. L. Inst. 2011).</w:t>
      </w:r>
    </w:p>
    <w:p>
      <w:r>
        <w:t xml:space="preserve"/>
      </w:r>
    </w:p>
    <w:p>
      <w:r>
        <w:rPr>
          <w:b/>
          <w:bCs/>
        </w:rPr>
        <w:t xml:space="preserve">CONCLUSION</w:t>
      </w:r>
    </w:p>
    <w:p>
      <w:pPr>
        <w:jc w:val="both"/>
      </w:pPr>
      <w:r>
        <w:t xml:space="preserve">        For the foregoing reasons, Defendant's motion should be denied. </w:t>
      </w:r>
      <w:r>
        <w:rPr>
          <w:i/>
          <w:iCs/>
        </w:rPr>
        <w:t xml:space="preserve">See</w:t>
      </w:r>
      <w:r>
        <w:t xml:space="preserve"> 15 USC 78j(b); 17 C.F.R. § 240.10b-5 (2024).</w:t>
      </w:r>
    </w:p>
    <w:p>
      <w:r>
        <w:t xml:space="preserve"/>
      </w:r>
    </w:p>
    <w:p>
      <w:r>
        <w:t xml:space="preserve">Respectfully submitted,</w:t>
      </w:r>
    </w:p>
    <w:p>
      <w:r>
        <w:t xml:space="preserve"/>
      </w:r>
    </w:p>
    <w:p>
      <w:r>
        <w:t xml:space="preserve">/s/ Counsel for Plaintiff</w:t>
      </w:r>
    </w:p>
    <w:sectPr>
      <w:pgSz w:w="12240" w:h="15840" w:orient="portrait"/>
      <w:pgMar w:top="1224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2026-04-29T02:58:30.204Z</dcterms:created>
  <dcterms:modified xsi:type="dcterms:W3CDTF">2026-04-29T02:58:30.205Z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