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Final C# Project:</w:t>
      </w:r>
    </w:p>
    <w:p w:rsidR="00000000" w:rsidDel="00000000" w:rsidP="00000000" w:rsidRDefault="00000000" w:rsidRPr="00000000" w14:paraId="0000000C">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ATM/Banking Application</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ISDS 309 S03</w:t>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2024 </w:t>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Hoda Diba</w:t>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Prepared By</w:t>
      </w:r>
      <w:r w:rsidDel="00000000" w:rsidR="00000000" w:rsidRPr="00000000">
        <w:rPr>
          <w:rFonts w:ascii="Times New Roman" w:cs="Times New Roman" w:eastAsia="Times New Roman" w:hAnsi="Times New Roman"/>
          <w:sz w:val="26"/>
          <w:szCs w:val="26"/>
          <w:rtl w:val="0"/>
        </w:rPr>
        <w:t xml:space="preserve">: ISDS Group #5</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Moises Gonzalez</w:t>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Blake Demarest</w:t>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Kylie Ebrahimi</w:t>
      </w:r>
    </w:p>
    <w:p w:rsidR="00000000" w:rsidDel="00000000" w:rsidP="00000000" w:rsidRDefault="00000000" w:rsidRPr="00000000" w14:paraId="0000001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Jesus Gutierrez</w:t>
      </w:r>
    </w:p>
    <w:p w:rsidR="00000000" w:rsidDel="00000000" w:rsidP="00000000" w:rsidRDefault="00000000" w:rsidRPr="00000000" w14:paraId="000000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Sean Smith</w:t>
      </w:r>
    </w:p>
    <w:p w:rsidR="00000000" w:rsidDel="00000000" w:rsidP="00000000" w:rsidRDefault="00000000" w:rsidRPr="00000000" w14:paraId="0000001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Summary</w:t>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Simple ATM Interface project aims to create a user-friendly interface for conducting basic ATM transactions. It will include a login screen for user authentication and a transaction screen for performing common ATM operations. Our project focuses on a few fundamental components, including user authentication and transaction execution. The login screen serves as the gateway to the banking system, ensuring that only authorized users can access their accounts. Once authenticated, users are granted access to a transaction screen. From checking their account balance to depositing funds, withdrawing, and transferring money, our interface offers services tailored to meet the needs of our banking customers.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Detail Page</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Simple ATM Interface program offers users a seamless and intuitive banking experience through an interactive Windows Forms interface. With a focus on user convenience and security, each customer is assigned a unique username and password, securely stored in a designated file. Upon successful authentication, users gain access to a comprehensive range of banking functionalities, including checking their account balance, depositing funds, withdrawing cash, and transferring funds between their accounts.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Behind the scenes, the program utilizes advanced data management techniques to ensure efficient and secure access to user information. By establishing a stream to the specified file, the program effectively organizes user data into arrays, enabling swift retrieval and manipulation of relevant information tied to each individual's username. This streamlined approach not only enhances user experience but also reinforces data privacy and security measures.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program's transactional capabilities are straightforward and user-friendly. Deposits increase the user's available balance by adding the deposited amount to the relevant array and updating the file accordingly. Conversely, withdrawals deduct funds from the user's balance, ensuring accurate and real-time account management. Transfers between accounts are seamlessly executed, with the program manipulating both source and destination arrays to reflect the transaction accurately in the file.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receive a comprehensive banking receipt generated in a log file format after completing their transactions. This receipt includes essential details such as the user's username, the timestamp of their platform access, and a record of the tasks they completed during their session. By logging this information and generating receipts, the program enhances transparency and accountability, providing users with a tangible record of their banking activities.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Simple ATM Interface program represents a modern approach to banking, combining user-centric design principles with data management techniques. By prioritizing simplicity, security, and accountability, the program empowers users to manage their finances confidently and conveniently, ushering in a new era of digital banking excellence.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Flow Chart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540500"/>
            <wp:effectExtent b="0" l="0" r="0" t="0"/>
            <wp:docPr id="2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Pages</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In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prompts users to enter both their username and password on the login screen.</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is validated against the stored usernames and passwords in a designated text file.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provided credentials match any existing records, the program retrieves the user's information using the GetUserInformation command.</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then proceeds to utilize only the attributes associated with the authenticated user throughout the session, ensuring privacy and security.</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671763" cy="1540651"/>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671763" cy="154065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44365" cy="1504224"/>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444365" cy="15042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initiate transfers by selecting the appropriate option from the transaction menu.</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transfer function employs nested if-else statements to validate user inputs and manage error control.</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such as transferring to the same account or exceeding available funds are checked.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transfer meets the correct parameters, the program updates the available balances in both accounts and displays a success message along with the new remaining balance.</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7038" cy="1711252"/>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67038" cy="171125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initiate deposits by selecting the deposit option from the transaction menu.</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deposit function writes to the master account file through a stream, updating the specific user's account balance.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enter any deposit amount, and upon completion, the program alerts the user of the successful transaction.</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Withdrawals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deposits, users initiate withdrawals by selecting the withdrawal option from the transaction menu.</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withdrawal function reverses the process of deposits, updating the user's account balance accordingly.</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control mechanisms ensure that users can only withdraw funds available in their account.</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attempt invalid actions, such as withdrawing more than their available balance, an error message prompts them to enter a valid value.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924138" cy="177991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24138" cy="17799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40286" cy="1761883"/>
            <wp:effectExtent b="0" l="0" r="0" t="0"/>
            <wp:docPr id="9" name="image14.png"/>
            <a:graphic>
              <a:graphicData uri="http://schemas.openxmlformats.org/drawingml/2006/picture">
                <pic:pic>
                  <pic:nvPicPr>
                    <pic:cNvPr id="0" name="image14.png"/>
                    <pic:cNvPicPr preferRelativeResize="0"/>
                  </pic:nvPicPr>
                  <pic:blipFill>
                    <a:blip r:embed="rId11"/>
                    <a:srcRect b="23076" l="12500" r="35576" t="21367"/>
                    <a:stretch>
                      <a:fillRect/>
                    </a:stretch>
                  </pic:blipFill>
                  <pic:spPr>
                    <a:xfrm>
                      <a:off x="0" y="0"/>
                      <a:ext cx="2940286" cy="176188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Logout/Receipts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updates the log file with the transaction details when users log out of the ATM.</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personalized receipt is generated using stream writer commands, providing users with a record of their account changes.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receipt includes a before and after section, displaying the changes in account balances after each transaction.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receipt after withdrawing $200 From checkings </w:t>
      </w:r>
      <w:r w:rsidDel="00000000" w:rsidR="00000000" w:rsidRPr="00000000">
        <w:rPr>
          <w:rFonts w:ascii="Times New Roman" w:cs="Times New Roman" w:eastAsia="Times New Roman" w:hAnsi="Times New Roman"/>
        </w:rPr>
        <w:drawing>
          <wp:inline distB="114300" distT="114300" distL="114300" distR="114300">
            <wp:extent cx="2095724" cy="2020300"/>
            <wp:effectExtent b="0" l="0" r="0" t="0"/>
            <wp:docPr id="2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095724" cy="2020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Screen</w:t>
      </w:r>
      <w:r w:rsidDel="00000000" w:rsidR="00000000" w:rsidRPr="00000000">
        <w:rPr>
          <w:rFonts w:ascii="Times New Roman" w:cs="Times New Roman" w:eastAsia="Times New Roman" w:hAnsi="Times New Roman"/>
          <w:sz w:val="24"/>
          <w:szCs w:val="24"/>
          <w:rtl w:val="0"/>
        </w:rPr>
        <w:t xml:space="preserve">: Users input their credentials (username and password) to access ATM functionalities.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Screen</w:t>
      </w:r>
      <w:r w:rsidDel="00000000" w:rsidR="00000000" w:rsidRPr="00000000">
        <w:rPr>
          <w:rFonts w:ascii="Times New Roman" w:cs="Times New Roman" w:eastAsia="Times New Roman" w:hAnsi="Times New Roman"/>
          <w:sz w:val="24"/>
          <w:szCs w:val="24"/>
          <w:rtl w:val="0"/>
        </w:rPr>
        <w:t xml:space="preserve">: After login, users are presented with a menu of available transactions, including withdrawal, deposit, and balance inquiry.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Receipt Output</w:t>
      </w:r>
      <w:r w:rsidDel="00000000" w:rsidR="00000000" w:rsidRPr="00000000">
        <w:rPr>
          <w:rFonts w:ascii="Times New Roman" w:cs="Times New Roman" w:eastAsia="Times New Roman" w:hAnsi="Times New Roman"/>
          <w:sz w:val="24"/>
          <w:szCs w:val="24"/>
          <w:rtl w:val="0"/>
        </w:rPr>
        <w:t xml:space="preserve">: A receipt is printed at the end of each transaction, providing detailed information such as date, time, and transaction details.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Storage</w:t>
      </w:r>
      <w:r w:rsidDel="00000000" w:rsidR="00000000" w:rsidRPr="00000000">
        <w:rPr>
          <w:rFonts w:ascii="Times New Roman" w:cs="Times New Roman" w:eastAsia="Times New Roman" w:hAnsi="Times New Roman"/>
          <w:sz w:val="24"/>
          <w:szCs w:val="24"/>
          <w:rtl w:val="0"/>
        </w:rPr>
        <w:t xml:space="preserve">: Transactions are stored until the end of the day, ensuring accurate record-keeping.</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Efficient Data Management</w:t>
      </w:r>
      <w:r w:rsidDel="00000000" w:rsidR="00000000" w:rsidRPr="00000000">
        <w:rPr>
          <w:rFonts w:ascii="Times New Roman" w:cs="Times New Roman" w:eastAsia="Times New Roman" w:hAnsi="Times New Roman"/>
          <w:sz w:val="24"/>
          <w:szCs w:val="24"/>
          <w:rtl w:val="0"/>
        </w:rPr>
        <w:t xml:space="preserve">: Emphasis is placed on efficient storage and retrieval of information to optimize program performance.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Comprehensive error handling is implemented to manage unexpected scenarios, providing informative messages to guide users.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Windows Forms (WinForms)</w:t>
      </w:r>
      <w:r w:rsidDel="00000000" w:rsidR="00000000" w:rsidRPr="00000000">
        <w:rPr>
          <w:rFonts w:ascii="Times New Roman" w:cs="Times New Roman" w:eastAsia="Times New Roman" w:hAnsi="Times New Roman"/>
          <w:sz w:val="24"/>
          <w:szCs w:val="24"/>
          <w:rtl w:val="0"/>
        </w:rPr>
        <w:t xml:space="preserve">: The user interface is developed using WinForms, offering a familiar and intuitive environment for users.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Print-Out Pages</w:t>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Form (Form1)</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screenshots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of Form1.cs (and the ".cs" of any other forms you may have, if you have multiple forms)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for any additional Form you may use</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962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ff0000"/>
        </w:rPr>
      </w:pPr>
      <w:r w:rsidDel="00000000" w:rsidR="00000000" w:rsidRPr="00000000">
        <w:rPr>
          <w:rtl w:val="0"/>
        </w:rPr>
        <w:t xml:space="preserve">Main Menu</w:t>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7696200"/>
            <wp:effectExtent b="0" l="0" r="0" t="0"/>
            <wp:docPr id="36"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Form1_LoginFrm</w:t>
      </w:r>
    </w:p>
    <w:p w:rsidR="00000000" w:rsidDel="00000000" w:rsidP="00000000" w:rsidRDefault="00000000" w:rsidRPr="00000000" w14:paraId="000000BB">
      <w:pPr>
        <w:rPr/>
      </w:pPr>
      <w:r w:rsidDel="00000000" w:rsidR="00000000" w:rsidRPr="00000000">
        <w:rPr/>
        <w:drawing>
          <wp:inline distB="114300" distT="114300" distL="114300" distR="114300">
            <wp:extent cx="5943600" cy="76962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7696200"/>
            <wp:effectExtent b="0" l="0" r="0" t="0"/>
            <wp:docPr id="3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769620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76962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76962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769620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266950"/>
            <wp:effectExtent b="0" l="0" r="0" t="0"/>
            <wp:docPr id="34" name="image23.png"/>
            <a:graphic>
              <a:graphicData uri="http://schemas.openxmlformats.org/drawingml/2006/picture">
                <pic:pic>
                  <pic:nvPicPr>
                    <pic:cNvPr id="0" name="image23.png"/>
                    <pic:cNvPicPr preferRelativeResize="0"/>
                  </pic:nvPicPr>
                  <pic:blipFill>
                    <a:blip r:embed="rId21"/>
                    <a:srcRect b="70544"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ChooseAccountFrm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7696200"/>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76962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1238250"/>
            <wp:effectExtent b="0" l="0" r="0" t="0"/>
            <wp:docPr id="2" name="image4.png"/>
            <a:graphic>
              <a:graphicData uri="http://schemas.openxmlformats.org/drawingml/2006/picture">
                <pic:pic>
                  <pic:nvPicPr>
                    <pic:cNvPr id="0" name="image4.png"/>
                    <pic:cNvPicPr preferRelativeResize="0"/>
                  </pic:nvPicPr>
                  <pic:blipFill>
                    <a:blip r:embed="rId24"/>
                    <a:srcRect b="83910" l="0" r="0" t="0"/>
                    <a:stretch>
                      <a:fillRect/>
                    </a:stretch>
                  </pic:blipFill>
                  <pic:spPr>
                    <a:xfrm>
                      <a:off x="0" y="0"/>
                      <a:ext cx="5943600" cy="1238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CreateAccountFrm</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7696200"/>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769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depositFrm</w:t>
      </w:r>
    </w:p>
    <w:p w:rsidR="00000000" w:rsidDel="00000000" w:rsidP="00000000" w:rsidRDefault="00000000" w:rsidRPr="00000000" w14:paraId="000000CC">
      <w:pPr>
        <w:rPr/>
      </w:pPr>
      <w:r w:rsidDel="00000000" w:rsidR="00000000" w:rsidRPr="00000000">
        <w:rPr/>
        <w:drawing>
          <wp:inline distB="114300" distT="114300" distL="114300" distR="114300">
            <wp:extent cx="5943600" cy="7696200"/>
            <wp:effectExtent b="0" l="0" r="0" t="0"/>
            <wp:docPr id="32"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3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withdrawalFrm</w:t>
      </w:r>
    </w:p>
    <w:p w:rsidR="00000000" w:rsidDel="00000000" w:rsidP="00000000" w:rsidRDefault="00000000" w:rsidRPr="00000000" w14:paraId="000000D0">
      <w:pPr>
        <w:rPr/>
      </w:pPr>
      <w:r w:rsidDel="00000000" w:rsidR="00000000" w:rsidRPr="00000000">
        <w:rPr/>
        <w:drawing>
          <wp:inline distB="114300" distT="114300" distL="114300" distR="114300">
            <wp:extent cx="5943600" cy="7696200"/>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7696200"/>
            <wp:effectExtent b="0" l="0" r="0" t="0"/>
            <wp:docPr id="33"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7696200"/>
            <wp:effectExtent b="0" l="0" r="0" t="0"/>
            <wp:docPr id="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769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balanceFrm</w:t>
      </w:r>
    </w:p>
    <w:p w:rsidR="00000000" w:rsidDel="00000000" w:rsidP="00000000" w:rsidRDefault="00000000" w:rsidRPr="00000000" w14:paraId="000000D4">
      <w:pPr>
        <w:rPr/>
      </w:pPr>
      <w:r w:rsidDel="00000000" w:rsidR="00000000" w:rsidRPr="00000000">
        <w:rPr/>
        <w:drawing>
          <wp:inline distB="114300" distT="114300" distL="114300" distR="114300">
            <wp:extent cx="5767388" cy="7475206"/>
            <wp:effectExtent b="0" l="0" r="0" t="0"/>
            <wp:docPr id="3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67388" cy="7475206"/>
                    </a:xfrm>
                    <a:prstGeom prst="rect"/>
                    <a:ln/>
                  </pic:spPr>
                </pic:pic>
              </a:graphicData>
            </a:graphic>
          </wp:inline>
        </w:drawing>
      </w:r>
      <w:r w:rsidDel="00000000" w:rsidR="00000000" w:rsidRPr="00000000">
        <w:rPr/>
        <w:drawing>
          <wp:inline distB="114300" distT="114300" distL="114300" distR="114300">
            <wp:extent cx="5943600" cy="7696200"/>
            <wp:effectExtent b="0" l="0" r="0" t="0"/>
            <wp:docPr id="2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769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transferFrm</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4851080" cy="6281738"/>
            <wp:effectExtent b="0" l="0" r="0" t="0"/>
            <wp:docPr id="1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851080" cy="6281738"/>
                    </a:xfrm>
                    <a:prstGeom prst="rect"/>
                    <a:ln/>
                  </pic:spPr>
                </pic:pic>
              </a:graphicData>
            </a:graphic>
          </wp:inline>
        </w:drawing>
      </w:r>
      <w:r w:rsidDel="00000000" w:rsidR="00000000" w:rsidRPr="00000000">
        <w:rPr/>
        <w:drawing>
          <wp:inline distB="114300" distT="114300" distL="114300" distR="114300">
            <wp:extent cx="5943600" cy="7696200"/>
            <wp:effectExtent b="0" l="0" r="0" t="0"/>
            <wp:docPr id="2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1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3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Program.cs File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7696200"/>
            <wp:effectExtent b="0" l="0" r="0" t="0"/>
            <wp:docPr id="25"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line="280" w:lineRule="auto"/>
      <w:ind w:left="1440" w:right="1620" w:hanging="360"/>
      <w:jc w:val="center"/>
    </w:pPr>
    <w:rPr>
      <w:b w:val="1"/>
      <w:color w:val="555555"/>
      <w:sz w:val="54"/>
      <w:szCs w:val="54"/>
      <w:highlight w:val="whit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3.png"/><Relationship Id="rId42" Type="http://schemas.openxmlformats.org/officeDocument/2006/relationships/image" Target="media/image26.png"/><Relationship Id="rId41" Type="http://schemas.openxmlformats.org/officeDocument/2006/relationships/image" Target="media/image25.png"/><Relationship Id="rId22" Type="http://schemas.openxmlformats.org/officeDocument/2006/relationships/image" Target="media/image28.png"/><Relationship Id="rId21" Type="http://schemas.openxmlformats.org/officeDocument/2006/relationships/image" Target="media/image23.png"/><Relationship Id="rId43" Type="http://schemas.openxmlformats.org/officeDocument/2006/relationships/header" Target="header1.xml"/><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2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21.png"/><Relationship Id="rId31" Type="http://schemas.openxmlformats.org/officeDocument/2006/relationships/image" Target="media/image27.png"/><Relationship Id="rId30" Type="http://schemas.openxmlformats.org/officeDocument/2006/relationships/image" Target="media/image34.png"/><Relationship Id="rId11" Type="http://schemas.openxmlformats.org/officeDocument/2006/relationships/image" Target="media/image14.png"/><Relationship Id="rId33" Type="http://schemas.openxmlformats.org/officeDocument/2006/relationships/image" Target="media/image16.png"/><Relationship Id="rId10" Type="http://schemas.openxmlformats.org/officeDocument/2006/relationships/image" Target="media/image5.png"/><Relationship Id="rId32" Type="http://schemas.openxmlformats.org/officeDocument/2006/relationships/image" Target="media/image36.png"/><Relationship Id="rId13" Type="http://schemas.openxmlformats.org/officeDocument/2006/relationships/image" Target="media/image3.png"/><Relationship Id="rId35" Type="http://schemas.openxmlformats.org/officeDocument/2006/relationships/image" Target="media/image6.png"/><Relationship Id="rId12" Type="http://schemas.openxmlformats.org/officeDocument/2006/relationships/image" Target="media/image31.png"/><Relationship Id="rId34" Type="http://schemas.openxmlformats.org/officeDocument/2006/relationships/image" Target="media/image12.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image" Target="media/image35.png"/><Relationship Id="rId36" Type="http://schemas.openxmlformats.org/officeDocument/2006/relationships/image" Target="media/image32.png"/><Relationship Id="rId17" Type="http://schemas.openxmlformats.org/officeDocument/2006/relationships/image" Target="media/image15.png"/><Relationship Id="rId39" Type="http://schemas.openxmlformats.org/officeDocument/2006/relationships/image" Target="media/image30.png"/><Relationship Id="rId16" Type="http://schemas.openxmlformats.org/officeDocument/2006/relationships/image" Target="media/image33.png"/><Relationship Id="rId38"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