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4E93C" w14:textId="77777777" w:rsidR="00215DAA" w:rsidRPr="00215DAA" w:rsidRDefault="00215DAA" w:rsidP="00796125">
      <w:pPr>
        <w:pStyle w:val="Title"/>
        <w:tabs>
          <w:tab w:val="left" w:pos="720"/>
        </w:tabs>
        <w:jc w:val="center"/>
        <w:rPr>
          <w:rStyle w:val="Strong"/>
          <w:b w:val="0"/>
          <w:bCs w:val="0"/>
          <w:sz w:val="40"/>
          <w:szCs w:val="36"/>
        </w:rPr>
      </w:pPr>
      <w:r w:rsidRPr="00215DAA">
        <w:rPr>
          <w:rStyle w:val="Strong"/>
          <w:b w:val="0"/>
          <w:bCs w:val="0"/>
          <w:sz w:val="40"/>
          <w:szCs w:val="36"/>
        </w:rPr>
        <w:t>Hempel Wealth Management</w:t>
      </w:r>
    </w:p>
    <w:p w14:paraId="4DC47AB0" w14:textId="6EF57085" w:rsidR="00215DAA" w:rsidRPr="00215DAA" w:rsidRDefault="00215DAA" w:rsidP="00796125">
      <w:pPr>
        <w:pStyle w:val="Title"/>
        <w:tabs>
          <w:tab w:val="left" w:pos="720"/>
        </w:tabs>
        <w:jc w:val="center"/>
        <w:rPr>
          <w:rStyle w:val="Strong"/>
          <w:b w:val="0"/>
          <w:bCs w:val="0"/>
          <w:sz w:val="40"/>
          <w:szCs w:val="36"/>
        </w:rPr>
      </w:pPr>
      <w:r w:rsidRPr="00215DAA">
        <w:rPr>
          <w:rStyle w:val="Strong"/>
          <w:b w:val="0"/>
          <w:bCs w:val="0"/>
          <w:sz w:val="40"/>
          <w:szCs w:val="36"/>
        </w:rPr>
        <w:t xml:space="preserve">Top 50 Portfolio - Ongoing </w:t>
      </w:r>
      <w:r w:rsidRPr="00365786">
        <w:rPr>
          <w:rStyle w:val="Strong"/>
          <w:b w:val="0"/>
          <w:bCs w:val="0"/>
          <w:sz w:val="40"/>
          <w:szCs w:val="36"/>
        </w:rPr>
        <w:t>Research</w:t>
      </w:r>
    </w:p>
    <w:p w14:paraId="267BB1C4" w14:textId="5128EF1E" w:rsidR="00BB03A1" w:rsidRDefault="004132E9" w:rsidP="00796125">
      <w:pPr>
        <w:pStyle w:val="Heading1"/>
        <w:numPr>
          <w:ilvl w:val="0"/>
          <w:numId w:val="23"/>
        </w:numPr>
        <w:tabs>
          <w:tab w:val="left" w:pos="720"/>
        </w:tabs>
        <w:spacing w:before="240"/>
        <w:ind w:left="0" w:hanging="540"/>
      </w:pPr>
      <w:r>
        <w:t>Summary:</w:t>
      </w:r>
    </w:p>
    <w:p w14:paraId="2A6A34A8" w14:textId="3F18E077" w:rsidR="00BB03A1" w:rsidRDefault="00BB03A1" w:rsidP="00796125">
      <w:pPr>
        <w:tabs>
          <w:tab w:val="left" w:pos="720"/>
        </w:tabs>
      </w:pPr>
      <w:r>
        <w:t xml:space="preserve">Academic Factor models have explained individual stock outperformance since the 1960s. </w:t>
      </w:r>
      <w:r w:rsidR="005157FC">
        <w:t xml:space="preserve">In the research since, roughly 500 </w:t>
      </w:r>
      <w:r w:rsidR="005157FC" w:rsidRPr="006F3E2C">
        <w:t>factors</w:t>
      </w:r>
      <w:r w:rsidR="005157FC">
        <w:t xml:space="preserve"> have been documented that explain individual stock outperformance.</w:t>
      </w:r>
      <w:r w:rsidRPr="006F3E2C">
        <w:t xml:space="preserve"> Given the plethora of factors</w:t>
      </w:r>
      <w:r w:rsidRPr="00BB03A1">
        <w:t xml:space="preserve">, choosing </w:t>
      </w:r>
      <w:r w:rsidR="005157FC">
        <w:t xml:space="preserve">the best factors </w:t>
      </w:r>
      <w:r w:rsidR="005157FC" w:rsidRPr="006F3E2C">
        <w:t xml:space="preserve">that </w:t>
      </w:r>
      <w:r w:rsidR="005157FC">
        <w:t xml:space="preserve">one </w:t>
      </w:r>
      <w:r w:rsidR="005157FC" w:rsidRPr="006F3E2C">
        <w:t xml:space="preserve">might be </w:t>
      </w:r>
      <w:r w:rsidR="005157FC" w:rsidRPr="00BB03A1">
        <w:t>include in a model</w:t>
      </w:r>
      <w:r w:rsidR="005157FC">
        <w:t xml:space="preserve"> </w:t>
      </w:r>
      <w:r w:rsidRPr="00BB03A1">
        <w:t>is an open challenge.</w:t>
      </w:r>
      <w:r w:rsidR="005157FC">
        <w:t xml:space="preserve"> As a result, there are two schools of thought on how to approach this challenge. Zhang vs. Fama and French.</w:t>
      </w:r>
    </w:p>
    <w:p w14:paraId="3867F90B" w14:textId="0863A6BD" w:rsidR="005157FC" w:rsidRDefault="005157FC" w:rsidP="00796125">
      <w:pPr>
        <w:tabs>
          <w:tab w:val="left" w:pos="720"/>
        </w:tabs>
      </w:pPr>
      <w:r>
        <w:t>The research can be summarized as follows:</w:t>
      </w:r>
    </w:p>
    <w:p w14:paraId="4E4F851B" w14:textId="20E9856A" w:rsidR="00BB03A1" w:rsidRDefault="00BB03A1" w:rsidP="00796125">
      <w:pPr>
        <w:pStyle w:val="BodyText"/>
        <w:numPr>
          <w:ilvl w:val="0"/>
          <w:numId w:val="26"/>
        </w:numPr>
        <w:tabs>
          <w:tab w:val="left" w:pos="720"/>
        </w:tabs>
      </w:pPr>
      <w:r>
        <w:t>Zhang factor models outperform Fama French</w:t>
      </w:r>
      <w:r w:rsidR="00436283">
        <w:t xml:space="preserve"> models</w:t>
      </w:r>
      <w:r w:rsidR="00766A56">
        <w:t>.</w:t>
      </w:r>
    </w:p>
    <w:p w14:paraId="5BB24A47" w14:textId="31DFA078" w:rsidR="00BB03A1" w:rsidRDefault="00BB03A1" w:rsidP="00796125">
      <w:pPr>
        <w:pStyle w:val="BodyText"/>
        <w:numPr>
          <w:ilvl w:val="1"/>
          <w:numId w:val="26"/>
        </w:numPr>
        <w:tabs>
          <w:tab w:val="left" w:pos="720"/>
        </w:tabs>
        <w:ind w:left="1080"/>
      </w:pPr>
      <w:r>
        <w:t xml:space="preserve">2014: Zhang q-model outperforms Fama French 3-factor. </w:t>
      </w:r>
    </w:p>
    <w:p w14:paraId="61D86E17" w14:textId="3231A1EC" w:rsidR="00BB03A1" w:rsidRDefault="00BB03A1" w:rsidP="00796125">
      <w:pPr>
        <w:pStyle w:val="BodyText"/>
        <w:numPr>
          <w:ilvl w:val="1"/>
          <w:numId w:val="26"/>
        </w:numPr>
        <w:tabs>
          <w:tab w:val="left" w:pos="720"/>
        </w:tabs>
        <w:ind w:left="1080"/>
      </w:pPr>
      <w:r>
        <w:t>2015: Fama French copies Zhang to create Fama French 5-factor model.</w:t>
      </w:r>
    </w:p>
    <w:p w14:paraId="351D9F72" w14:textId="61C515D0" w:rsidR="003A4D0A" w:rsidRDefault="003A4D0A" w:rsidP="00796125">
      <w:pPr>
        <w:pStyle w:val="BodyText"/>
        <w:numPr>
          <w:ilvl w:val="1"/>
          <w:numId w:val="26"/>
        </w:numPr>
        <w:tabs>
          <w:tab w:val="left" w:pos="720"/>
        </w:tabs>
        <w:ind w:left="1080"/>
      </w:pPr>
      <w:r>
        <w:t xml:space="preserve">Zhang q-model still outperforms as the </w:t>
      </w:r>
      <w:r w:rsidRPr="003A4D0A">
        <w:t xml:space="preserve">Fama–French </w:t>
      </w:r>
      <w:r>
        <w:t>5</w:t>
      </w:r>
      <w:r w:rsidRPr="003A4D0A">
        <w:t>-factor model</w:t>
      </w:r>
      <w:r w:rsidR="005534DA">
        <w:t xml:space="preserve"> as the FF-5</w:t>
      </w:r>
      <w:r w:rsidRPr="003A4D0A">
        <w:t xml:space="preserve"> shows no explanatory power for </w:t>
      </w:r>
      <w:r w:rsidR="005534DA">
        <w:t xml:space="preserve">the </w:t>
      </w:r>
      <w:r w:rsidRPr="003A4D0A">
        <w:t>momentum</w:t>
      </w:r>
      <w:r w:rsidR="005534DA">
        <w:t xml:space="preserve"> factor</w:t>
      </w:r>
      <w:r>
        <w:t>.</w:t>
      </w:r>
    </w:p>
    <w:p w14:paraId="0E4611F8" w14:textId="365681EA" w:rsidR="00BB03A1" w:rsidRDefault="00BB03A1" w:rsidP="00796125">
      <w:pPr>
        <w:pStyle w:val="BodyText"/>
        <w:numPr>
          <w:ilvl w:val="1"/>
          <w:numId w:val="26"/>
        </w:numPr>
        <w:tabs>
          <w:tab w:val="left" w:pos="720"/>
        </w:tabs>
        <w:ind w:left="1080"/>
      </w:pPr>
      <w:r>
        <w:t>2018: Fama French copies Zhang to create Fama French 6-factor</w:t>
      </w:r>
      <w:r w:rsidRPr="008B125D">
        <w:t xml:space="preserve"> </w:t>
      </w:r>
      <w:r>
        <w:t>model</w:t>
      </w:r>
      <w:r w:rsidR="003A4D0A">
        <w:t xml:space="preserve"> by reluctantly adding momentum</w:t>
      </w:r>
      <w:r>
        <w:t>.</w:t>
      </w:r>
    </w:p>
    <w:p w14:paraId="312C20E6" w14:textId="77777777" w:rsidR="00BB03A1" w:rsidRDefault="00BB03A1" w:rsidP="00796125">
      <w:pPr>
        <w:pStyle w:val="BodyText"/>
        <w:numPr>
          <w:ilvl w:val="1"/>
          <w:numId w:val="26"/>
        </w:numPr>
        <w:tabs>
          <w:tab w:val="left" w:pos="720"/>
        </w:tabs>
        <w:ind w:left="1080"/>
      </w:pPr>
      <w:r>
        <w:t>“</w:t>
      </w:r>
      <w:r w:rsidRPr="00BB03A1">
        <w:t xml:space="preserve">The Fama–French </w:t>
      </w:r>
      <w:r>
        <w:t>6</w:t>
      </w:r>
      <w:r w:rsidRPr="00BB03A1">
        <w:t>-factor model is largely comparable with the </w:t>
      </w:r>
      <w:r w:rsidRPr="00BB03A1">
        <w:rPr>
          <w:i/>
          <w:iCs/>
        </w:rPr>
        <w:t>q</w:t>
      </w:r>
      <w:r w:rsidRPr="00BB03A1">
        <w:t>-factor model.”</w:t>
      </w:r>
    </w:p>
    <w:p w14:paraId="04F6EE2D" w14:textId="178962C1" w:rsidR="00BB03A1" w:rsidRDefault="00BB03A1" w:rsidP="00796125">
      <w:pPr>
        <w:pStyle w:val="BodyText"/>
        <w:numPr>
          <w:ilvl w:val="1"/>
          <w:numId w:val="26"/>
        </w:numPr>
        <w:tabs>
          <w:tab w:val="left" w:pos="720"/>
        </w:tabs>
        <w:ind w:left="1080"/>
      </w:pPr>
      <w:r>
        <w:t>2021: Zhang released improved “augmented q-model” with Expected Growth</w:t>
      </w:r>
      <w:r w:rsidR="005534DA">
        <w:t xml:space="preserve"> factor</w:t>
      </w:r>
      <w:r>
        <w:t>. The new</w:t>
      </w:r>
      <w:r w:rsidRPr="008B125D">
        <w:t xml:space="preserve"> q</w:t>
      </w:r>
      <w:r w:rsidRPr="008B125D">
        <w:rPr>
          <w:vertAlign w:val="superscript"/>
        </w:rPr>
        <w:t>5</w:t>
      </w:r>
      <w:r w:rsidRPr="008B125D">
        <w:t xml:space="preserve"> model </w:t>
      </w:r>
      <w:r>
        <w:t xml:space="preserve">has </w:t>
      </w:r>
      <w:r w:rsidRPr="008B125D">
        <w:t>improve</w:t>
      </w:r>
      <w:r>
        <w:t>d</w:t>
      </w:r>
      <w:r w:rsidRPr="008B125D">
        <w:t xml:space="preserve"> </w:t>
      </w:r>
      <w:r>
        <w:t>results</w:t>
      </w:r>
      <w:r w:rsidRPr="008B125D">
        <w:t xml:space="preserve"> across most categories</w:t>
      </w:r>
      <w:r>
        <w:t xml:space="preserve"> vs. the </w:t>
      </w:r>
      <w:r w:rsidRPr="008B125D">
        <w:t>o</w:t>
      </w:r>
      <w:r>
        <w:t>riginal</w:t>
      </w:r>
      <w:r w:rsidRPr="008B125D">
        <w:t xml:space="preserve"> q-factor</w:t>
      </w:r>
      <w:r>
        <w:t>.</w:t>
      </w:r>
    </w:p>
    <w:p w14:paraId="1976DCE1" w14:textId="01F9E332" w:rsidR="00BB03A1" w:rsidRDefault="00BB03A1" w:rsidP="00796125">
      <w:pPr>
        <w:pStyle w:val="BodyText"/>
        <w:numPr>
          <w:ilvl w:val="1"/>
          <w:numId w:val="26"/>
        </w:numPr>
        <w:tabs>
          <w:tab w:val="left" w:pos="720"/>
        </w:tabs>
        <w:ind w:left="1080"/>
      </w:pPr>
      <w:r>
        <w:t xml:space="preserve">Zhang </w:t>
      </w:r>
      <w:r w:rsidRPr="008B125D">
        <w:t>q</w:t>
      </w:r>
      <w:r w:rsidRPr="008B125D">
        <w:rPr>
          <w:vertAlign w:val="superscript"/>
        </w:rPr>
        <w:t>5</w:t>
      </w:r>
      <w:r w:rsidRPr="008B125D">
        <w:t xml:space="preserve"> </w:t>
      </w:r>
      <w:r>
        <w:t>model outperforms</w:t>
      </w:r>
      <w:r w:rsidRPr="008B125D">
        <w:t xml:space="preserve"> </w:t>
      </w:r>
      <w:r>
        <w:t>Fama French 6-factor</w:t>
      </w:r>
      <w:r w:rsidRPr="008B125D">
        <w:t xml:space="preserve"> </w:t>
      </w:r>
      <w:r>
        <w:t>model.</w:t>
      </w:r>
    </w:p>
    <w:p w14:paraId="6A8DB992" w14:textId="2E460902" w:rsidR="009B0BE8" w:rsidRDefault="009B0BE8" w:rsidP="00796125">
      <w:pPr>
        <w:pStyle w:val="BodyText"/>
        <w:numPr>
          <w:ilvl w:val="1"/>
          <w:numId w:val="26"/>
        </w:numPr>
        <w:tabs>
          <w:tab w:val="left" w:pos="720"/>
        </w:tabs>
        <w:ind w:left="1080"/>
      </w:pPr>
      <w:r>
        <w:t>However, t</w:t>
      </w:r>
      <w:r w:rsidRPr="009B0BE8">
        <w:t xml:space="preserve">he Fama–French </w:t>
      </w:r>
      <w:r>
        <w:t>6</w:t>
      </w:r>
      <w:r w:rsidRPr="009B0BE8">
        <w:t xml:space="preserve">-factor model does a better job than the </w:t>
      </w:r>
      <w:r w:rsidRPr="008B125D">
        <w:t>q</w:t>
      </w:r>
      <w:r w:rsidRPr="008B125D">
        <w:rPr>
          <w:vertAlign w:val="superscript"/>
        </w:rPr>
        <w:t>5</w:t>
      </w:r>
      <w:r w:rsidRPr="009B0BE8">
        <w:t xml:space="preserve"> model in explaining the composite </w:t>
      </w:r>
      <w:r>
        <w:t>V</w:t>
      </w:r>
      <w:r w:rsidRPr="009B0BE8">
        <w:t>alue</w:t>
      </w:r>
      <w:r>
        <w:t xml:space="preserve"> anomalies</w:t>
      </w:r>
      <w:r w:rsidRPr="009B0BE8">
        <w:t>, which is on average 0.7% per month (t = 3.47).</w:t>
      </w:r>
    </w:p>
    <w:p w14:paraId="000461DC" w14:textId="35841C83" w:rsidR="00BB03A1" w:rsidRDefault="00BB03A1" w:rsidP="00796125">
      <w:pPr>
        <w:pStyle w:val="BodyText"/>
        <w:numPr>
          <w:ilvl w:val="0"/>
          <w:numId w:val="26"/>
        </w:numPr>
        <w:tabs>
          <w:tab w:val="left" w:pos="720"/>
        </w:tabs>
      </w:pPr>
      <w:r>
        <w:t>Fama French Value Factor needs to be based on current market price.</w:t>
      </w:r>
    </w:p>
    <w:p w14:paraId="432AD84A" w14:textId="77777777" w:rsidR="00BB03A1" w:rsidRDefault="00BB03A1" w:rsidP="00796125">
      <w:pPr>
        <w:pStyle w:val="BodyText"/>
        <w:numPr>
          <w:ilvl w:val="0"/>
          <w:numId w:val="26"/>
        </w:numPr>
        <w:tabs>
          <w:tab w:val="left" w:pos="720"/>
        </w:tabs>
      </w:pPr>
      <w:r>
        <w:t>The Investment Factor may or may not replace the Value factor, depending on your perspective.</w:t>
      </w:r>
    </w:p>
    <w:p w14:paraId="5DB85E88" w14:textId="77777777" w:rsidR="00BB03A1" w:rsidRDefault="00BB03A1" w:rsidP="00796125">
      <w:pPr>
        <w:pStyle w:val="BodyText"/>
        <w:numPr>
          <w:ilvl w:val="0"/>
          <w:numId w:val="26"/>
        </w:numPr>
        <w:tabs>
          <w:tab w:val="left" w:pos="720"/>
        </w:tabs>
      </w:pPr>
      <w:r>
        <w:t xml:space="preserve">Fama-French find </w:t>
      </w:r>
      <w:r w:rsidRPr="00CC1DA3">
        <w:t>Profitability factor</w:t>
      </w:r>
      <w:r>
        <w:t xml:space="preserve"> that is based on </w:t>
      </w:r>
      <w:r w:rsidRPr="00CC1DA3">
        <w:t xml:space="preserve">cash profitability </w:t>
      </w:r>
      <w:r>
        <w:t xml:space="preserve">is superior to one based on </w:t>
      </w:r>
      <w:r w:rsidRPr="00CC1DA3">
        <w:t>operating profitability</w:t>
      </w:r>
      <w:r>
        <w:t>.</w:t>
      </w:r>
    </w:p>
    <w:p w14:paraId="735E4275" w14:textId="3C1F903D" w:rsidR="00BB03A1" w:rsidRPr="005534DA" w:rsidRDefault="00BB03A1" w:rsidP="00796125">
      <w:pPr>
        <w:pStyle w:val="BodyText"/>
        <w:numPr>
          <w:ilvl w:val="0"/>
          <w:numId w:val="26"/>
        </w:numPr>
        <w:tabs>
          <w:tab w:val="left" w:pos="720"/>
        </w:tabs>
      </w:pPr>
      <w:r w:rsidRPr="005534DA">
        <w:t xml:space="preserve">Zhang finds </w:t>
      </w:r>
      <w:r w:rsidR="005534DA" w:rsidRPr="005534DA">
        <w:t>that the I</w:t>
      </w:r>
      <w:r w:rsidRPr="005534DA">
        <w:t xml:space="preserve">nvestment </w:t>
      </w:r>
      <w:r w:rsidR="005534DA" w:rsidRPr="005534DA">
        <w:t>factor</w:t>
      </w:r>
      <w:r w:rsidRPr="005534DA">
        <w:t xml:space="preserve"> explain</w:t>
      </w:r>
      <w:r w:rsidR="005534DA" w:rsidRPr="005534DA">
        <w:t>s</w:t>
      </w:r>
      <w:r w:rsidRPr="005534DA">
        <w:t xml:space="preserve"> </w:t>
      </w:r>
      <w:r w:rsidR="005534DA" w:rsidRPr="005534DA">
        <w:t>V</w:t>
      </w:r>
      <w:r w:rsidRPr="005534DA">
        <w:t xml:space="preserve">alue and </w:t>
      </w:r>
      <w:r w:rsidR="005534DA" w:rsidRPr="005534DA">
        <w:t>M</w:t>
      </w:r>
      <w:r w:rsidRPr="005534DA">
        <w:t>omentum simultaneously</w:t>
      </w:r>
      <w:r w:rsidR="005534DA" w:rsidRPr="005534DA">
        <w:t xml:space="preserve">, even though Asness finds </w:t>
      </w:r>
      <w:r w:rsidR="005534DA">
        <w:t xml:space="preserve">that </w:t>
      </w:r>
      <w:r w:rsidR="005534DA" w:rsidRPr="005534DA">
        <w:t xml:space="preserve">Value and Momentum </w:t>
      </w:r>
      <w:r w:rsidR="005534DA">
        <w:t>are negatively</w:t>
      </w:r>
      <w:r w:rsidR="005534DA" w:rsidRPr="005534DA">
        <w:t xml:space="preserve"> correlated.</w:t>
      </w:r>
    </w:p>
    <w:p w14:paraId="2329AB9C" w14:textId="55E481D1" w:rsidR="009B0BE8" w:rsidRDefault="005534DA" w:rsidP="00796125">
      <w:pPr>
        <w:pStyle w:val="BodyText"/>
        <w:numPr>
          <w:ilvl w:val="0"/>
          <w:numId w:val="26"/>
        </w:numPr>
        <w:tabs>
          <w:tab w:val="left" w:pos="720"/>
        </w:tabs>
      </w:pPr>
      <w:r w:rsidRPr="005534DA">
        <w:t xml:space="preserve">Zhang finds that the </w:t>
      </w:r>
      <w:r w:rsidR="00BB03A1">
        <w:t xml:space="preserve">Momentum factor is explained by adding </w:t>
      </w:r>
      <w:r w:rsidR="00BB03A1" w:rsidRPr="005534DA">
        <w:t>Expected Growth</w:t>
      </w:r>
      <w:r>
        <w:t xml:space="preserve">; </w:t>
      </w:r>
      <w:r w:rsidR="00BB03A1" w:rsidRPr="005534DA">
        <w:t>Momentum is a combination of Profitability and Expected Growth</w:t>
      </w:r>
    </w:p>
    <w:p w14:paraId="4667A49B" w14:textId="7603D558" w:rsidR="009B0BE8" w:rsidRDefault="009B0BE8" w:rsidP="00796125">
      <w:pPr>
        <w:pStyle w:val="Heading2"/>
        <w:tabs>
          <w:tab w:val="left" w:pos="720"/>
        </w:tabs>
      </w:pPr>
      <w:r>
        <w:t>Key Points</w:t>
      </w:r>
    </w:p>
    <w:p w14:paraId="4746FD07" w14:textId="6AAD681C" w:rsidR="009B0BE8" w:rsidRDefault="009B0BE8" w:rsidP="00766A56">
      <w:pPr>
        <w:pStyle w:val="BodyText"/>
        <w:numPr>
          <w:ilvl w:val="0"/>
          <w:numId w:val="26"/>
        </w:numPr>
        <w:tabs>
          <w:tab w:val="left" w:pos="720"/>
        </w:tabs>
      </w:pPr>
      <w:r>
        <w:t>Zhang Investment Factor may replace the Value factor, yet q</w:t>
      </w:r>
      <w:r w:rsidR="00766A56" w:rsidRPr="008B125D">
        <w:rPr>
          <w:vertAlign w:val="superscript"/>
        </w:rPr>
        <w:t>5</w:t>
      </w:r>
      <w:r>
        <w:t xml:space="preserve"> model can not explain value anomalies in aggregate.</w:t>
      </w:r>
    </w:p>
    <w:p w14:paraId="02CE11A3" w14:textId="51E1B3AF" w:rsidR="009B0BE8" w:rsidRDefault="009B0BE8" w:rsidP="00766A56">
      <w:pPr>
        <w:pStyle w:val="BodyText"/>
        <w:numPr>
          <w:ilvl w:val="0"/>
          <w:numId w:val="26"/>
        </w:numPr>
        <w:tabs>
          <w:tab w:val="left" w:pos="720"/>
        </w:tabs>
      </w:pPr>
      <w:r>
        <w:t xml:space="preserve">FF does not believe in momentum; Zhang can explain momentum via </w:t>
      </w:r>
      <w:r w:rsidRPr="005534DA">
        <w:t>Profitability and Expected Growth</w:t>
      </w:r>
    </w:p>
    <w:p w14:paraId="598AA3A1" w14:textId="558A0008" w:rsidR="009B0BE8" w:rsidRDefault="00BF011B" w:rsidP="00796125">
      <w:pPr>
        <w:pStyle w:val="BodyText"/>
        <w:tabs>
          <w:tab w:val="left" w:pos="720"/>
        </w:tabs>
        <w:rPr>
          <w:rFonts w:ascii="Copernicus-Roman" w:hAnsi="Copernicus-Roman"/>
          <w:sz w:val="26"/>
          <w:szCs w:val="26"/>
          <w:shd w:val="clear" w:color="auto" w:fill="F7F7F7"/>
        </w:rPr>
      </w:pPr>
      <w:r>
        <w:rPr>
          <w:rFonts w:ascii="Copernicus-Roman" w:hAnsi="Copernicus-Roman"/>
          <w:sz w:val="26"/>
          <w:szCs w:val="26"/>
          <w:shd w:val="clear" w:color="auto" w:fill="F7F7F7"/>
        </w:rPr>
        <w:t>However, many investors — such as individuals, pension funds and mutual funds — are constrained in the leverage that they can take, and therefore overweight riskier securities instead. This behavior of tilting toward volatility suggests high-beta assets require lower risk-adjusted returns than low-beta assets.</w:t>
      </w:r>
    </w:p>
    <w:p w14:paraId="513010DE" w14:textId="77777777" w:rsidR="00BF011B" w:rsidRPr="004610F2" w:rsidRDefault="00BF011B" w:rsidP="00796125">
      <w:pPr>
        <w:pStyle w:val="BodyText"/>
        <w:tabs>
          <w:tab w:val="left" w:pos="720"/>
        </w:tabs>
      </w:pPr>
    </w:p>
    <w:p w14:paraId="1DFE45A8" w14:textId="5B9A55F5" w:rsidR="00796125" w:rsidRDefault="00796125" w:rsidP="00796125">
      <w:pPr>
        <w:pStyle w:val="Heading1"/>
        <w:numPr>
          <w:ilvl w:val="0"/>
          <w:numId w:val="23"/>
        </w:numPr>
        <w:tabs>
          <w:tab w:val="left" w:pos="720"/>
        </w:tabs>
        <w:spacing w:before="240"/>
        <w:ind w:left="0" w:hanging="540"/>
      </w:pPr>
      <w:r>
        <w:lastRenderedPageBreak/>
        <w:t>The Scorecard:</w:t>
      </w:r>
    </w:p>
    <w:p w14:paraId="3EC304B0" w14:textId="77777777" w:rsidR="00796125" w:rsidRPr="00146888" w:rsidRDefault="00796125" w:rsidP="00796125">
      <w:pPr>
        <w:tabs>
          <w:tab w:val="left" w:pos="720"/>
        </w:tabs>
        <w:spacing w:before="60"/>
        <w:rPr>
          <w:b/>
          <w:bCs/>
        </w:rPr>
      </w:pPr>
      <w:r>
        <w:rPr>
          <w:b/>
          <w:bCs/>
        </w:rPr>
        <w:t>Equity outperformance vs. other asset classes</w:t>
      </w:r>
    </w:p>
    <w:p w14:paraId="5A97B8CA" w14:textId="77777777" w:rsidR="00796125" w:rsidRDefault="00796125" w:rsidP="00796125">
      <w:pPr>
        <w:tabs>
          <w:tab w:val="left" w:pos="720"/>
        </w:tabs>
        <w:spacing w:before="60"/>
      </w:pPr>
      <w:r>
        <w:t xml:space="preserve">Each year Professor </w:t>
      </w:r>
      <w:r w:rsidRPr="00F061CA">
        <w:t>Damodaran at N</w:t>
      </w:r>
      <w:r>
        <w:t xml:space="preserve">ew </w:t>
      </w:r>
      <w:r w:rsidRPr="00F061CA">
        <w:t>Y</w:t>
      </w:r>
      <w:r>
        <w:t xml:space="preserve">ork </w:t>
      </w:r>
      <w:r w:rsidRPr="00F061CA">
        <w:t>U</w:t>
      </w:r>
      <w:r>
        <w:t>niversity</w:t>
      </w:r>
      <w:r w:rsidRPr="00F061CA">
        <w:t xml:space="preserve"> updates the annual returns for stocks</w:t>
      </w:r>
      <w:r>
        <w:t xml:space="preserve">, </w:t>
      </w:r>
      <w:r w:rsidRPr="00F061CA">
        <w:t>bonds</w:t>
      </w:r>
      <w:r>
        <w:t>, real estate</w:t>
      </w:r>
      <w:r w:rsidRPr="00F061CA">
        <w:t xml:space="preserve"> and cash going back to 1928.</w:t>
      </w:r>
      <w:r>
        <w:t xml:space="preserve"> To put it bluntly, stocks have drastically outperformed other investment asset classes over the last 100 years.</w:t>
      </w:r>
    </w:p>
    <w:p w14:paraId="099909F5" w14:textId="77777777" w:rsidR="00796125" w:rsidRDefault="00796125" w:rsidP="00796125">
      <w:pPr>
        <w:tabs>
          <w:tab w:val="left" w:pos="720"/>
        </w:tabs>
        <w:spacing w:before="60"/>
      </w:pPr>
    </w:p>
    <w:tbl>
      <w:tblPr>
        <w:tblW w:w="8653" w:type="dxa"/>
        <w:tblLook w:val="04A0" w:firstRow="1" w:lastRow="0" w:firstColumn="1" w:lastColumn="0" w:noHBand="0" w:noVBand="1"/>
      </w:tblPr>
      <w:tblGrid>
        <w:gridCol w:w="1275"/>
        <w:gridCol w:w="1184"/>
        <w:gridCol w:w="910"/>
        <w:gridCol w:w="1730"/>
        <w:gridCol w:w="1366"/>
        <w:gridCol w:w="1184"/>
        <w:gridCol w:w="1004"/>
      </w:tblGrid>
      <w:tr w:rsidR="00796125" w:rsidRPr="000A7193" w14:paraId="2FCFEA68" w14:textId="77777777" w:rsidTr="0095796C">
        <w:trPr>
          <w:trHeight w:val="381"/>
        </w:trPr>
        <w:tc>
          <w:tcPr>
            <w:tcW w:w="1275" w:type="dxa"/>
            <w:tcBorders>
              <w:top w:val="nil"/>
              <w:left w:val="nil"/>
              <w:bottom w:val="nil"/>
              <w:right w:val="nil"/>
            </w:tcBorders>
            <w:shd w:val="clear" w:color="auto" w:fill="auto"/>
            <w:noWrap/>
            <w:vAlign w:val="bottom"/>
            <w:hideMark/>
          </w:tcPr>
          <w:p w14:paraId="4F1FB70C" w14:textId="77777777" w:rsidR="00796125" w:rsidRPr="000A7193" w:rsidRDefault="00796125" w:rsidP="00796125">
            <w:pPr>
              <w:widowControl/>
              <w:tabs>
                <w:tab w:val="left" w:pos="720"/>
              </w:tabs>
              <w:suppressAutoHyphens w:val="0"/>
              <w:spacing w:before="0"/>
              <w:rPr>
                <w:rFonts w:ascii="Times New Roman" w:eastAsia="Times New Roman" w:hAnsi="Times New Roman" w:cs="Times New Roman"/>
                <w:color w:val="auto"/>
                <w:sz w:val="20"/>
                <w:szCs w:val="20"/>
                <w:lang w:val="en-US" w:eastAsia="en-US" w:bidi="ar-SA"/>
              </w:rPr>
            </w:pPr>
          </w:p>
        </w:tc>
        <w:tc>
          <w:tcPr>
            <w:tcW w:w="7378" w:type="dxa"/>
            <w:gridSpan w:val="6"/>
            <w:tcBorders>
              <w:top w:val="single" w:sz="4" w:space="0" w:color="8EA9DB"/>
              <w:left w:val="nil"/>
              <w:bottom w:val="single" w:sz="4" w:space="0" w:color="8EA9DB"/>
              <w:right w:val="nil"/>
            </w:tcBorders>
            <w:shd w:val="clear" w:color="4472C4" w:fill="004578"/>
            <w:vAlign w:val="center"/>
            <w:hideMark/>
          </w:tcPr>
          <w:p w14:paraId="0EBE264C" w14:textId="77777777" w:rsidR="00796125" w:rsidRPr="000A7193" w:rsidRDefault="00796125" w:rsidP="00796125">
            <w:pPr>
              <w:widowControl/>
              <w:tabs>
                <w:tab w:val="left" w:pos="720"/>
              </w:tabs>
              <w:suppressAutoHyphens w:val="0"/>
              <w:spacing w:before="0"/>
              <w:jc w:val="center"/>
              <w:rPr>
                <w:rFonts w:eastAsia="Times New Roman"/>
                <w:b/>
                <w:bCs/>
                <w:color w:val="FFFFFF"/>
                <w:sz w:val="20"/>
                <w:szCs w:val="20"/>
                <w:lang w:val="en-US" w:eastAsia="en-US" w:bidi="ar-SA"/>
              </w:rPr>
            </w:pPr>
            <w:r w:rsidRPr="000A7193">
              <w:rPr>
                <w:rFonts w:eastAsia="Times New Roman"/>
                <w:b/>
                <w:bCs/>
                <w:color w:val="FFFFFF"/>
                <w:sz w:val="20"/>
                <w:szCs w:val="20"/>
                <w:lang w:val="en-US" w:eastAsia="en-US" w:bidi="ar-SA"/>
              </w:rPr>
              <w:t>Value of $100 invested at start of 1928</w:t>
            </w:r>
            <w:r w:rsidRPr="008E0442">
              <w:rPr>
                <w:rFonts w:eastAsia="Times New Roman"/>
                <w:b/>
                <w:bCs/>
                <w:color w:val="FFFFFF"/>
                <w:sz w:val="20"/>
                <w:szCs w:val="20"/>
                <w:lang w:val="en-US" w:eastAsia="en-US" w:bidi="ar-SA"/>
              </w:rPr>
              <w:t xml:space="preserve"> in …</w:t>
            </w:r>
          </w:p>
        </w:tc>
      </w:tr>
      <w:tr w:rsidR="00796125" w:rsidRPr="000A7193" w14:paraId="0016C364" w14:textId="77777777" w:rsidTr="0095796C">
        <w:trPr>
          <w:trHeight w:val="612"/>
        </w:trPr>
        <w:tc>
          <w:tcPr>
            <w:tcW w:w="1275" w:type="dxa"/>
            <w:tcBorders>
              <w:top w:val="nil"/>
              <w:left w:val="nil"/>
              <w:bottom w:val="nil"/>
              <w:right w:val="nil"/>
            </w:tcBorders>
            <w:shd w:val="clear" w:color="auto" w:fill="auto"/>
            <w:noWrap/>
            <w:vAlign w:val="bottom"/>
            <w:hideMark/>
          </w:tcPr>
          <w:p w14:paraId="5660657B" w14:textId="77777777" w:rsidR="00796125" w:rsidRPr="000A7193" w:rsidRDefault="00796125" w:rsidP="00796125">
            <w:pPr>
              <w:widowControl/>
              <w:tabs>
                <w:tab w:val="left" w:pos="720"/>
              </w:tabs>
              <w:suppressAutoHyphens w:val="0"/>
              <w:spacing w:before="0"/>
              <w:jc w:val="center"/>
              <w:rPr>
                <w:rFonts w:eastAsia="Times New Roman"/>
                <w:b/>
                <w:bCs/>
                <w:color w:val="FFFFFF"/>
                <w:sz w:val="20"/>
                <w:szCs w:val="20"/>
                <w:lang w:val="en-US" w:eastAsia="en-US" w:bidi="ar-SA"/>
              </w:rPr>
            </w:pPr>
          </w:p>
        </w:tc>
        <w:tc>
          <w:tcPr>
            <w:tcW w:w="1184" w:type="dxa"/>
            <w:tcBorders>
              <w:top w:val="nil"/>
              <w:left w:val="nil"/>
              <w:bottom w:val="nil"/>
              <w:right w:val="nil"/>
            </w:tcBorders>
            <w:shd w:val="clear" w:color="4472C4" w:fill="004578"/>
            <w:vAlign w:val="center"/>
            <w:hideMark/>
          </w:tcPr>
          <w:p w14:paraId="4B220762" w14:textId="77777777" w:rsidR="00796125" w:rsidRPr="000A7193" w:rsidRDefault="00796125" w:rsidP="00796125">
            <w:pPr>
              <w:widowControl/>
              <w:tabs>
                <w:tab w:val="left" w:pos="720"/>
              </w:tabs>
              <w:suppressAutoHyphens w:val="0"/>
              <w:spacing w:before="0"/>
              <w:jc w:val="center"/>
              <w:rPr>
                <w:rFonts w:eastAsia="Times New Roman"/>
                <w:b/>
                <w:bCs/>
                <w:color w:val="FFFFFF"/>
                <w:sz w:val="20"/>
                <w:szCs w:val="20"/>
                <w:lang w:val="en-US" w:eastAsia="en-US" w:bidi="ar-SA"/>
              </w:rPr>
            </w:pPr>
            <w:r w:rsidRPr="000A7193">
              <w:rPr>
                <w:rFonts w:eastAsia="Times New Roman"/>
                <w:b/>
                <w:bCs/>
                <w:color w:val="FFFFFF"/>
                <w:sz w:val="20"/>
                <w:szCs w:val="20"/>
                <w:lang w:val="en-US" w:eastAsia="en-US" w:bidi="ar-SA"/>
              </w:rPr>
              <w:t xml:space="preserve">S&amp;P 500 </w:t>
            </w:r>
          </w:p>
        </w:tc>
        <w:tc>
          <w:tcPr>
            <w:tcW w:w="910" w:type="dxa"/>
            <w:tcBorders>
              <w:top w:val="nil"/>
              <w:left w:val="nil"/>
              <w:bottom w:val="nil"/>
              <w:right w:val="nil"/>
            </w:tcBorders>
            <w:shd w:val="clear" w:color="4472C4" w:fill="004578"/>
            <w:vAlign w:val="center"/>
            <w:hideMark/>
          </w:tcPr>
          <w:p w14:paraId="7382236C" w14:textId="77777777" w:rsidR="00796125" w:rsidRPr="000A7193" w:rsidRDefault="00796125" w:rsidP="00796125">
            <w:pPr>
              <w:widowControl/>
              <w:tabs>
                <w:tab w:val="left" w:pos="720"/>
              </w:tabs>
              <w:suppressAutoHyphens w:val="0"/>
              <w:spacing w:before="0"/>
              <w:jc w:val="center"/>
              <w:rPr>
                <w:rFonts w:eastAsia="Times New Roman"/>
                <w:b/>
                <w:bCs/>
                <w:color w:val="FFFFFF"/>
                <w:sz w:val="20"/>
                <w:szCs w:val="20"/>
                <w:lang w:val="en-US" w:eastAsia="en-US" w:bidi="ar-SA"/>
              </w:rPr>
            </w:pPr>
            <w:r w:rsidRPr="000A7193">
              <w:rPr>
                <w:rFonts w:eastAsia="Times New Roman"/>
                <w:b/>
                <w:bCs/>
                <w:color w:val="FFFFFF"/>
                <w:sz w:val="20"/>
                <w:szCs w:val="20"/>
                <w:lang w:val="en-US" w:eastAsia="en-US" w:bidi="ar-SA"/>
              </w:rPr>
              <w:t>Cash</w:t>
            </w:r>
          </w:p>
        </w:tc>
        <w:tc>
          <w:tcPr>
            <w:tcW w:w="1730" w:type="dxa"/>
            <w:tcBorders>
              <w:top w:val="nil"/>
              <w:left w:val="nil"/>
              <w:bottom w:val="nil"/>
              <w:right w:val="nil"/>
            </w:tcBorders>
            <w:shd w:val="clear" w:color="4472C4" w:fill="004578"/>
            <w:vAlign w:val="center"/>
            <w:hideMark/>
          </w:tcPr>
          <w:p w14:paraId="6295EADB" w14:textId="77777777" w:rsidR="00796125" w:rsidRPr="000A7193" w:rsidRDefault="00796125" w:rsidP="00796125">
            <w:pPr>
              <w:widowControl/>
              <w:tabs>
                <w:tab w:val="left" w:pos="720"/>
              </w:tabs>
              <w:suppressAutoHyphens w:val="0"/>
              <w:spacing w:before="0"/>
              <w:jc w:val="center"/>
              <w:rPr>
                <w:rFonts w:eastAsia="Times New Roman"/>
                <w:b/>
                <w:bCs/>
                <w:color w:val="FFFFFF"/>
                <w:sz w:val="20"/>
                <w:szCs w:val="20"/>
                <w:lang w:val="en-US" w:eastAsia="en-US" w:bidi="ar-SA"/>
              </w:rPr>
            </w:pPr>
            <w:r w:rsidRPr="008E0442">
              <w:rPr>
                <w:rFonts w:eastAsia="Times New Roman"/>
                <w:b/>
                <w:bCs/>
                <w:color w:val="FFFFFF"/>
                <w:sz w:val="20"/>
                <w:szCs w:val="20"/>
                <w:lang w:val="en-US" w:eastAsia="en-US" w:bidi="ar-SA"/>
              </w:rPr>
              <w:t xml:space="preserve">10-year </w:t>
            </w:r>
            <w:r w:rsidRPr="000A7193">
              <w:rPr>
                <w:rFonts w:eastAsia="Times New Roman"/>
                <w:b/>
                <w:bCs/>
                <w:color w:val="FFFFFF"/>
                <w:sz w:val="20"/>
                <w:szCs w:val="20"/>
                <w:lang w:val="en-US" w:eastAsia="en-US" w:bidi="ar-SA"/>
              </w:rPr>
              <w:t>US Treasury Bonds</w:t>
            </w:r>
          </w:p>
        </w:tc>
        <w:tc>
          <w:tcPr>
            <w:tcW w:w="1366" w:type="dxa"/>
            <w:tcBorders>
              <w:top w:val="nil"/>
              <w:left w:val="nil"/>
              <w:bottom w:val="nil"/>
              <w:right w:val="nil"/>
            </w:tcBorders>
            <w:shd w:val="clear" w:color="4472C4" w:fill="004578"/>
            <w:vAlign w:val="center"/>
            <w:hideMark/>
          </w:tcPr>
          <w:p w14:paraId="2C5FC0E1" w14:textId="77777777" w:rsidR="00796125" w:rsidRPr="000A7193" w:rsidRDefault="00796125" w:rsidP="00796125">
            <w:pPr>
              <w:widowControl/>
              <w:tabs>
                <w:tab w:val="left" w:pos="720"/>
              </w:tabs>
              <w:suppressAutoHyphens w:val="0"/>
              <w:spacing w:before="0"/>
              <w:jc w:val="center"/>
              <w:rPr>
                <w:rFonts w:eastAsia="Times New Roman"/>
                <w:b/>
                <w:bCs/>
                <w:color w:val="FFFFFF"/>
                <w:sz w:val="20"/>
                <w:szCs w:val="20"/>
                <w:lang w:val="en-US" w:eastAsia="en-US" w:bidi="ar-SA"/>
              </w:rPr>
            </w:pPr>
            <w:r w:rsidRPr="000A7193">
              <w:rPr>
                <w:rFonts w:eastAsia="Times New Roman"/>
                <w:b/>
                <w:bCs/>
                <w:color w:val="FFFFFF"/>
                <w:sz w:val="20"/>
                <w:szCs w:val="20"/>
                <w:lang w:val="en-US" w:eastAsia="en-US" w:bidi="ar-SA"/>
              </w:rPr>
              <w:t>Corporate Bonds</w:t>
            </w:r>
          </w:p>
        </w:tc>
        <w:tc>
          <w:tcPr>
            <w:tcW w:w="1184" w:type="dxa"/>
            <w:tcBorders>
              <w:top w:val="nil"/>
              <w:left w:val="nil"/>
              <w:bottom w:val="nil"/>
              <w:right w:val="nil"/>
            </w:tcBorders>
            <w:shd w:val="clear" w:color="4472C4" w:fill="004578"/>
            <w:vAlign w:val="center"/>
            <w:hideMark/>
          </w:tcPr>
          <w:p w14:paraId="70775219" w14:textId="77777777" w:rsidR="00796125" w:rsidRPr="000A7193" w:rsidRDefault="00796125" w:rsidP="00796125">
            <w:pPr>
              <w:widowControl/>
              <w:tabs>
                <w:tab w:val="left" w:pos="720"/>
              </w:tabs>
              <w:suppressAutoHyphens w:val="0"/>
              <w:spacing w:before="0"/>
              <w:jc w:val="center"/>
              <w:rPr>
                <w:rFonts w:eastAsia="Times New Roman"/>
                <w:b/>
                <w:bCs/>
                <w:color w:val="FFFFFF"/>
                <w:sz w:val="20"/>
                <w:szCs w:val="20"/>
                <w:lang w:val="en-US" w:eastAsia="en-US" w:bidi="ar-SA"/>
              </w:rPr>
            </w:pPr>
            <w:r w:rsidRPr="000A7193">
              <w:rPr>
                <w:rFonts w:eastAsia="Times New Roman"/>
                <w:b/>
                <w:bCs/>
                <w:color w:val="FFFFFF"/>
                <w:sz w:val="20"/>
                <w:szCs w:val="20"/>
                <w:lang w:val="en-US" w:eastAsia="en-US" w:bidi="ar-SA"/>
              </w:rPr>
              <w:t>Real Estate</w:t>
            </w:r>
          </w:p>
        </w:tc>
        <w:tc>
          <w:tcPr>
            <w:tcW w:w="1002" w:type="dxa"/>
            <w:tcBorders>
              <w:top w:val="nil"/>
              <w:left w:val="nil"/>
              <w:bottom w:val="nil"/>
              <w:right w:val="nil"/>
            </w:tcBorders>
            <w:shd w:val="clear" w:color="4472C4" w:fill="004578"/>
            <w:vAlign w:val="center"/>
            <w:hideMark/>
          </w:tcPr>
          <w:p w14:paraId="2C958B89" w14:textId="77777777" w:rsidR="00796125" w:rsidRPr="000A7193" w:rsidRDefault="00796125" w:rsidP="00796125">
            <w:pPr>
              <w:widowControl/>
              <w:tabs>
                <w:tab w:val="left" w:pos="720"/>
              </w:tabs>
              <w:suppressAutoHyphens w:val="0"/>
              <w:spacing w:before="0"/>
              <w:jc w:val="center"/>
              <w:rPr>
                <w:rFonts w:eastAsia="Times New Roman"/>
                <w:b/>
                <w:bCs/>
                <w:color w:val="FFFFFF"/>
                <w:sz w:val="20"/>
                <w:szCs w:val="20"/>
                <w:lang w:val="en-US" w:eastAsia="en-US" w:bidi="ar-SA"/>
              </w:rPr>
            </w:pPr>
            <w:r w:rsidRPr="000A7193">
              <w:rPr>
                <w:rFonts w:eastAsia="Times New Roman"/>
                <w:b/>
                <w:bCs/>
                <w:color w:val="FFFFFF"/>
                <w:sz w:val="20"/>
                <w:szCs w:val="20"/>
                <w:lang w:val="en-US" w:eastAsia="en-US" w:bidi="ar-SA"/>
              </w:rPr>
              <w:t>Gold</w:t>
            </w:r>
          </w:p>
        </w:tc>
      </w:tr>
      <w:tr w:rsidR="00796125" w:rsidRPr="000A7193" w14:paraId="366D549B" w14:textId="77777777" w:rsidTr="0095796C">
        <w:trPr>
          <w:trHeight w:val="296"/>
        </w:trPr>
        <w:tc>
          <w:tcPr>
            <w:tcW w:w="1275" w:type="dxa"/>
            <w:tcBorders>
              <w:top w:val="single" w:sz="4" w:space="0" w:color="8EA9DB"/>
              <w:left w:val="single" w:sz="4" w:space="0" w:color="8EA9DB"/>
              <w:bottom w:val="nil"/>
              <w:right w:val="nil"/>
            </w:tcBorders>
            <w:shd w:val="clear" w:color="auto" w:fill="auto"/>
            <w:noWrap/>
            <w:vAlign w:val="bottom"/>
            <w:hideMark/>
          </w:tcPr>
          <w:p w14:paraId="045284C9" w14:textId="77777777" w:rsidR="00796125" w:rsidRPr="000A7193" w:rsidRDefault="00796125" w:rsidP="00796125">
            <w:pPr>
              <w:widowControl/>
              <w:tabs>
                <w:tab w:val="left" w:pos="720"/>
              </w:tabs>
              <w:suppressAutoHyphens w:val="0"/>
              <w:spacing w:before="0"/>
              <w:rPr>
                <w:rFonts w:eastAsia="Times New Roman"/>
                <w:sz w:val="20"/>
                <w:szCs w:val="20"/>
                <w:lang w:val="en-US" w:eastAsia="en-US" w:bidi="ar-SA"/>
              </w:rPr>
            </w:pPr>
            <w:r>
              <w:rPr>
                <w:rFonts w:eastAsia="Times New Roman"/>
                <w:sz w:val="20"/>
                <w:szCs w:val="20"/>
                <w:lang w:val="en-US" w:eastAsia="en-US" w:bidi="ar-SA"/>
              </w:rPr>
              <w:t>Jan</w:t>
            </w:r>
            <w:r w:rsidRPr="000A7193">
              <w:rPr>
                <w:rFonts w:eastAsia="Times New Roman"/>
                <w:sz w:val="20"/>
                <w:szCs w:val="20"/>
                <w:lang w:val="en-US" w:eastAsia="en-US" w:bidi="ar-SA"/>
              </w:rPr>
              <w:t xml:space="preserve"> 1928</w:t>
            </w:r>
          </w:p>
        </w:tc>
        <w:tc>
          <w:tcPr>
            <w:tcW w:w="1184" w:type="dxa"/>
            <w:tcBorders>
              <w:top w:val="single" w:sz="4" w:space="0" w:color="8EA9DB"/>
              <w:left w:val="nil"/>
              <w:bottom w:val="single" w:sz="4" w:space="0" w:color="8EA9DB"/>
              <w:right w:val="nil"/>
            </w:tcBorders>
            <w:shd w:val="clear" w:color="auto" w:fill="auto"/>
            <w:noWrap/>
            <w:vAlign w:val="center"/>
            <w:hideMark/>
          </w:tcPr>
          <w:p w14:paraId="6CBCC200"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Pr>
                <w:rFonts w:eastAsia="Times New Roman"/>
                <w:sz w:val="20"/>
                <w:szCs w:val="20"/>
                <w:lang w:val="en-US" w:eastAsia="en-US" w:bidi="ar-SA"/>
              </w:rPr>
              <w:t>$100</w:t>
            </w:r>
          </w:p>
        </w:tc>
        <w:tc>
          <w:tcPr>
            <w:tcW w:w="910" w:type="dxa"/>
            <w:tcBorders>
              <w:top w:val="single" w:sz="4" w:space="0" w:color="8EA9DB"/>
              <w:left w:val="nil"/>
              <w:bottom w:val="single" w:sz="4" w:space="0" w:color="8EA9DB"/>
              <w:right w:val="nil"/>
            </w:tcBorders>
            <w:shd w:val="clear" w:color="auto" w:fill="auto"/>
            <w:noWrap/>
            <w:vAlign w:val="center"/>
            <w:hideMark/>
          </w:tcPr>
          <w:p w14:paraId="206B5D3A"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sidRPr="000A7193">
              <w:rPr>
                <w:rFonts w:eastAsia="Times New Roman"/>
                <w:sz w:val="20"/>
                <w:szCs w:val="20"/>
                <w:lang w:val="en-US" w:eastAsia="en-US" w:bidi="ar-SA"/>
              </w:rPr>
              <w:t>$</w:t>
            </w:r>
            <w:r>
              <w:rPr>
                <w:rFonts w:eastAsia="Times New Roman"/>
                <w:sz w:val="20"/>
                <w:szCs w:val="20"/>
                <w:lang w:val="en-US" w:eastAsia="en-US" w:bidi="ar-SA"/>
              </w:rPr>
              <w:t>100</w:t>
            </w:r>
          </w:p>
        </w:tc>
        <w:tc>
          <w:tcPr>
            <w:tcW w:w="1730" w:type="dxa"/>
            <w:tcBorders>
              <w:top w:val="single" w:sz="4" w:space="0" w:color="8EA9DB"/>
              <w:left w:val="nil"/>
              <w:bottom w:val="single" w:sz="4" w:space="0" w:color="8EA9DB"/>
              <w:right w:val="nil"/>
            </w:tcBorders>
            <w:shd w:val="clear" w:color="auto" w:fill="auto"/>
            <w:noWrap/>
            <w:vAlign w:val="center"/>
            <w:hideMark/>
          </w:tcPr>
          <w:p w14:paraId="51E438A2"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sidRPr="000A7193">
              <w:rPr>
                <w:rFonts w:eastAsia="Times New Roman"/>
                <w:sz w:val="20"/>
                <w:szCs w:val="20"/>
                <w:lang w:val="en-US" w:eastAsia="en-US" w:bidi="ar-SA"/>
              </w:rPr>
              <w:t>$</w:t>
            </w:r>
            <w:r>
              <w:rPr>
                <w:rFonts w:eastAsia="Times New Roman"/>
                <w:sz w:val="20"/>
                <w:szCs w:val="20"/>
                <w:lang w:val="en-US" w:eastAsia="en-US" w:bidi="ar-SA"/>
              </w:rPr>
              <w:t>100</w:t>
            </w:r>
          </w:p>
        </w:tc>
        <w:tc>
          <w:tcPr>
            <w:tcW w:w="1366" w:type="dxa"/>
            <w:tcBorders>
              <w:top w:val="single" w:sz="4" w:space="0" w:color="8EA9DB"/>
              <w:left w:val="nil"/>
              <w:bottom w:val="single" w:sz="4" w:space="0" w:color="8EA9DB"/>
              <w:right w:val="nil"/>
            </w:tcBorders>
            <w:shd w:val="clear" w:color="auto" w:fill="auto"/>
            <w:noWrap/>
            <w:vAlign w:val="center"/>
            <w:hideMark/>
          </w:tcPr>
          <w:p w14:paraId="3B5D9264"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sidRPr="000A7193">
              <w:rPr>
                <w:rFonts w:eastAsia="Times New Roman"/>
                <w:sz w:val="20"/>
                <w:szCs w:val="20"/>
                <w:lang w:val="en-US" w:eastAsia="en-US" w:bidi="ar-SA"/>
              </w:rPr>
              <w:t>$</w:t>
            </w:r>
            <w:r>
              <w:rPr>
                <w:rFonts w:eastAsia="Times New Roman"/>
                <w:sz w:val="20"/>
                <w:szCs w:val="20"/>
                <w:lang w:val="en-US" w:eastAsia="en-US" w:bidi="ar-SA"/>
              </w:rPr>
              <w:t>100</w:t>
            </w:r>
          </w:p>
        </w:tc>
        <w:tc>
          <w:tcPr>
            <w:tcW w:w="1184" w:type="dxa"/>
            <w:tcBorders>
              <w:top w:val="single" w:sz="4" w:space="0" w:color="8EA9DB"/>
              <w:left w:val="nil"/>
              <w:bottom w:val="single" w:sz="4" w:space="0" w:color="8EA9DB"/>
              <w:right w:val="nil"/>
            </w:tcBorders>
            <w:shd w:val="clear" w:color="auto" w:fill="auto"/>
            <w:noWrap/>
            <w:vAlign w:val="center"/>
            <w:hideMark/>
          </w:tcPr>
          <w:p w14:paraId="0FC5E39E"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sidRPr="000A7193">
              <w:rPr>
                <w:rFonts w:eastAsia="Times New Roman"/>
                <w:sz w:val="20"/>
                <w:szCs w:val="20"/>
                <w:lang w:val="en-US" w:eastAsia="en-US" w:bidi="ar-SA"/>
              </w:rPr>
              <w:t>$</w:t>
            </w:r>
            <w:r>
              <w:rPr>
                <w:rFonts w:eastAsia="Times New Roman"/>
                <w:sz w:val="20"/>
                <w:szCs w:val="20"/>
                <w:lang w:val="en-US" w:eastAsia="en-US" w:bidi="ar-SA"/>
              </w:rPr>
              <w:t>100</w:t>
            </w:r>
          </w:p>
        </w:tc>
        <w:tc>
          <w:tcPr>
            <w:tcW w:w="1002" w:type="dxa"/>
            <w:tcBorders>
              <w:top w:val="single" w:sz="4" w:space="0" w:color="8EA9DB"/>
              <w:left w:val="nil"/>
              <w:bottom w:val="nil"/>
              <w:right w:val="single" w:sz="4" w:space="0" w:color="8EA9DB"/>
            </w:tcBorders>
            <w:shd w:val="clear" w:color="auto" w:fill="auto"/>
            <w:noWrap/>
            <w:vAlign w:val="center"/>
            <w:hideMark/>
          </w:tcPr>
          <w:p w14:paraId="35B9DD58"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sidRPr="000A7193">
              <w:rPr>
                <w:rFonts w:eastAsia="Times New Roman"/>
                <w:sz w:val="20"/>
                <w:szCs w:val="20"/>
                <w:lang w:val="en-US" w:eastAsia="en-US" w:bidi="ar-SA"/>
              </w:rPr>
              <w:t>$</w:t>
            </w:r>
            <w:r>
              <w:rPr>
                <w:rFonts w:eastAsia="Times New Roman"/>
                <w:sz w:val="20"/>
                <w:szCs w:val="20"/>
                <w:lang w:val="en-US" w:eastAsia="en-US" w:bidi="ar-SA"/>
              </w:rPr>
              <w:t>100</w:t>
            </w:r>
          </w:p>
        </w:tc>
      </w:tr>
      <w:tr w:rsidR="00796125" w:rsidRPr="000A7193" w14:paraId="0A570BC2" w14:textId="77777777" w:rsidTr="0095796C">
        <w:trPr>
          <w:trHeight w:val="296"/>
        </w:trPr>
        <w:tc>
          <w:tcPr>
            <w:tcW w:w="1275" w:type="dxa"/>
            <w:tcBorders>
              <w:top w:val="single" w:sz="4" w:space="0" w:color="8EA9DB"/>
              <w:left w:val="single" w:sz="4" w:space="0" w:color="8EA9DB"/>
              <w:bottom w:val="single" w:sz="4" w:space="0" w:color="8EA9DB"/>
              <w:right w:val="nil"/>
            </w:tcBorders>
            <w:shd w:val="clear" w:color="auto" w:fill="auto"/>
            <w:noWrap/>
            <w:vAlign w:val="bottom"/>
            <w:hideMark/>
          </w:tcPr>
          <w:p w14:paraId="1B539DC5" w14:textId="77777777" w:rsidR="00796125" w:rsidRPr="000A7193" w:rsidRDefault="00796125" w:rsidP="00796125">
            <w:pPr>
              <w:widowControl/>
              <w:tabs>
                <w:tab w:val="left" w:pos="720"/>
              </w:tabs>
              <w:suppressAutoHyphens w:val="0"/>
              <w:spacing w:before="0"/>
              <w:rPr>
                <w:rFonts w:eastAsia="Times New Roman"/>
                <w:sz w:val="20"/>
                <w:szCs w:val="20"/>
                <w:lang w:val="en-US" w:eastAsia="en-US" w:bidi="ar-SA"/>
              </w:rPr>
            </w:pPr>
            <w:r w:rsidRPr="000A7193">
              <w:rPr>
                <w:rFonts w:eastAsia="Times New Roman"/>
                <w:sz w:val="20"/>
                <w:szCs w:val="20"/>
                <w:lang w:val="en-US" w:eastAsia="en-US" w:bidi="ar-SA"/>
              </w:rPr>
              <w:t>Dec 2022</w:t>
            </w:r>
          </w:p>
        </w:tc>
        <w:tc>
          <w:tcPr>
            <w:tcW w:w="1184" w:type="dxa"/>
            <w:tcBorders>
              <w:top w:val="nil"/>
              <w:left w:val="nil"/>
              <w:bottom w:val="single" w:sz="4" w:space="0" w:color="8EA9DB"/>
              <w:right w:val="nil"/>
            </w:tcBorders>
            <w:shd w:val="clear" w:color="auto" w:fill="auto"/>
            <w:noWrap/>
            <w:vAlign w:val="center"/>
            <w:hideMark/>
          </w:tcPr>
          <w:p w14:paraId="71D851C6"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sidRPr="000A7193">
              <w:rPr>
                <w:rFonts w:eastAsia="Times New Roman"/>
                <w:sz w:val="20"/>
                <w:szCs w:val="20"/>
                <w:lang w:val="en-US" w:eastAsia="en-US" w:bidi="ar-SA"/>
              </w:rPr>
              <w:t>$624,530</w:t>
            </w:r>
          </w:p>
        </w:tc>
        <w:tc>
          <w:tcPr>
            <w:tcW w:w="910" w:type="dxa"/>
            <w:tcBorders>
              <w:top w:val="nil"/>
              <w:left w:val="nil"/>
              <w:bottom w:val="single" w:sz="4" w:space="0" w:color="8EA9DB"/>
              <w:right w:val="nil"/>
            </w:tcBorders>
            <w:shd w:val="clear" w:color="auto" w:fill="auto"/>
            <w:noWrap/>
            <w:vAlign w:val="center"/>
            <w:hideMark/>
          </w:tcPr>
          <w:p w14:paraId="12C61683"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sidRPr="000A7193">
              <w:rPr>
                <w:rFonts w:eastAsia="Times New Roman"/>
                <w:sz w:val="20"/>
                <w:szCs w:val="20"/>
                <w:lang w:val="en-US" w:eastAsia="en-US" w:bidi="ar-SA"/>
              </w:rPr>
              <w:t>$2,180</w:t>
            </w:r>
          </w:p>
        </w:tc>
        <w:tc>
          <w:tcPr>
            <w:tcW w:w="1730" w:type="dxa"/>
            <w:tcBorders>
              <w:top w:val="nil"/>
              <w:left w:val="nil"/>
              <w:bottom w:val="single" w:sz="4" w:space="0" w:color="8EA9DB"/>
              <w:right w:val="nil"/>
            </w:tcBorders>
            <w:shd w:val="clear" w:color="auto" w:fill="auto"/>
            <w:noWrap/>
            <w:vAlign w:val="center"/>
            <w:hideMark/>
          </w:tcPr>
          <w:p w14:paraId="545A638D"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sidRPr="000A7193">
              <w:rPr>
                <w:rFonts w:eastAsia="Times New Roman"/>
                <w:sz w:val="20"/>
                <w:szCs w:val="20"/>
                <w:lang w:val="en-US" w:eastAsia="en-US" w:bidi="ar-SA"/>
              </w:rPr>
              <w:t>$7,010</w:t>
            </w:r>
          </w:p>
        </w:tc>
        <w:tc>
          <w:tcPr>
            <w:tcW w:w="1366" w:type="dxa"/>
            <w:tcBorders>
              <w:top w:val="nil"/>
              <w:left w:val="nil"/>
              <w:bottom w:val="single" w:sz="4" w:space="0" w:color="8EA9DB"/>
              <w:right w:val="nil"/>
            </w:tcBorders>
            <w:shd w:val="clear" w:color="auto" w:fill="auto"/>
            <w:noWrap/>
            <w:vAlign w:val="center"/>
            <w:hideMark/>
          </w:tcPr>
          <w:p w14:paraId="2AA9E866"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sidRPr="000A7193">
              <w:rPr>
                <w:rFonts w:eastAsia="Times New Roman"/>
                <w:sz w:val="20"/>
                <w:szCs w:val="20"/>
                <w:lang w:val="en-US" w:eastAsia="en-US" w:bidi="ar-SA"/>
              </w:rPr>
              <w:t>$46,380</w:t>
            </w:r>
          </w:p>
        </w:tc>
        <w:tc>
          <w:tcPr>
            <w:tcW w:w="1184" w:type="dxa"/>
            <w:tcBorders>
              <w:top w:val="nil"/>
              <w:left w:val="nil"/>
              <w:bottom w:val="single" w:sz="4" w:space="0" w:color="8EA9DB"/>
              <w:right w:val="nil"/>
            </w:tcBorders>
            <w:shd w:val="clear" w:color="auto" w:fill="auto"/>
            <w:noWrap/>
            <w:vAlign w:val="center"/>
            <w:hideMark/>
          </w:tcPr>
          <w:p w14:paraId="5345522B"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sidRPr="000A7193">
              <w:rPr>
                <w:rFonts w:eastAsia="Times New Roman"/>
                <w:sz w:val="20"/>
                <w:szCs w:val="20"/>
                <w:lang w:val="en-US" w:eastAsia="en-US" w:bidi="ar-SA"/>
              </w:rPr>
              <w:t>$5,120</w:t>
            </w:r>
          </w:p>
        </w:tc>
        <w:tc>
          <w:tcPr>
            <w:tcW w:w="1002" w:type="dxa"/>
            <w:tcBorders>
              <w:top w:val="single" w:sz="4" w:space="0" w:color="8EA9DB"/>
              <w:left w:val="nil"/>
              <w:bottom w:val="single" w:sz="4" w:space="0" w:color="8EA9DB"/>
              <w:right w:val="single" w:sz="4" w:space="0" w:color="8EA9DB"/>
            </w:tcBorders>
            <w:shd w:val="clear" w:color="auto" w:fill="auto"/>
            <w:noWrap/>
            <w:vAlign w:val="center"/>
            <w:hideMark/>
          </w:tcPr>
          <w:p w14:paraId="256E0F8B" w14:textId="77777777" w:rsidR="00796125" w:rsidRPr="000A7193" w:rsidRDefault="00796125" w:rsidP="00796125">
            <w:pPr>
              <w:widowControl/>
              <w:tabs>
                <w:tab w:val="left" w:pos="720"/>
              </w:tabs>
              <w:suppressAutoHyphens w:val="0"/>
              <w:spacing w:before="0"/>
              <w:jc w:val="center"/>
              <w:rPr>
                <w:rFonts w:eastAsia="Times New Roman"/>
                <w:sz w:val="20"/>
                <w:szCs w:val="20"/>
                <w:lang w:val="en-US" w:eastAsia="en-US" w:bidi="ar-SA"/>
              </w:rPr>
            </w:pPr>
            <w:r w:rsidRPr="000A7193">
              <w:rPr>
                <w:rFonts w:eastAsia="Times New Roman"/>
                <w:sz w:val="20"/>
                <w:szCs w:val="20"/>
                <w:lang w:val="en-US" w:eastAsia="en-US" w:bidi="ar-SA"/>
              </w:rPr>
              <w:t>$8,870</w:t>
            </w:r>
          </w:p>
        </w:tc>
      </w:tr>
    </w:tbl>
    <w:p w14:paraId="486AD729" w14:textId="77777777" w:rsidR="00796125" w:rsidRPr="00F061CA" w:rsidRDefault="00796125" w:rsidP="00796125">
      <w:pPr>
        <w:pStyle w:val="Caption"/>
        <w:tabs>
          <w:tab w:val="left" w:pos="720"/>
        </w:tabs>
      </w:pPr>
      <w:r w:rsidRPr="00F061CA">
        <w:t>Source: https://pages.stern.nyu.edu/~adamodar/New_Home_Page/datafile/histretSP.html</w:t>
      </w:r>
    </w:p>
    <w:p w14:paraId="45CD16E3" w14:textId="77777777" w:rsidR="00796125" w:rsidRPr="00146888" w:rsidRDefault="00796125" w:rsidP="00796125">
      <w:pPr>
        <w:tabs>
          <w:tab w:val="left" w:pos="720"/>
        </w:tabs>
        <w:spacing w:before="60"/>
        <w:rPr>
          <w:b/>
          <w:bCs/>
        </w:rPr>
      </w:pPr>
      <w:r w:rsidRPr="00146888">
        <w:rPr>
          <w:b/>
          <w:bCs/>
        </w:rPr>
        <w:t xml:space="preserve">Investment Manager Score Card </w:t>
      </w:r>
    </w:p>
    <w:p w14:paraId="67F3D7E2" w14:textId="77777777" w:rsidR="00796125" w:rsidRDefault="00796125" w:rsidP="00796125">
      <w:pPr>
        <w:tabs>
          <w:tab w:val="left" w:pos="720"/>
        </w:tabs>
        <w:spacing w:before="60"/>
      </w:pPr>
      <w:r>
        <w:t xml:space="preserve">Each year, Standard and Poor’s updates their </w:t>
      </w:r>
      <w:hyperlink r:id="rId7" w:history="1">
        <w:r w:rsidRPr="007B0C39">
          <w:rPr>
            <w:rStyle w:val="Hyperlink"/>
          </w:rPr>
          <w:t>SPIVA Scorecard</w:t>
        </w:r>
      </w:hyperlink>
      <w:r>
        <w:t xml:space="preserve"> which </w:t>
      </w:r>
      <w:r w:rsidRPr="007B0C39">
        <w:t xml:space="preserve">measures </w:t>
      </w:r>
      <w:r>
        <w:t xml:space="preserve">investment </w:t>
      </w:r>
      <w:r w:rsidRPr="007B0C39">
        <w:t>funds</w:t>
      </w:r>
      <w:r>
        <w:t xml:space="preserve"> </w:t>
      </w:r>
      <w:r w:rsidRPr="007B0C39">
        <w:t>against their index benchmarks</w:t>
      </w:r>
      <w:r>
        <w:t xml:space="preserve">. Looking specifically at Large Cap Funds vs. the S&amp;P 500: over the last 3-years, 85.88% of funds have failed to outperform the index; over the last 20-years, 95.22% of funds have failed to outperform the index. </w:t>
      </w:r>
    </w:p>
    <w:p w14:paraId="10ADD5A4" w14:textId="77777777" w:rsidR="00796125" w:rsidRDefault="00796125" w:rsidP="00796125">
      <w:pPr>
        <w:tabs>
          <w:tab w:val="left" w:pos="720"/>
        </w:tabs>
        <w:spacing w:before="60"/>
      </w:pPr>
      <w:r>
        <w:t xml:space="preserve">If you randomly choose a Large Cap Stock fund, you have less than a 1 in 20 shot at outperforming the stock market. Digging deeper into the data the news gets worse. If you are into higher returns with </w:t>
      </w:r>
      <w:r w:rsidRPr="00046E35">
        <w:t>Large-Cap Growth Funds</w:t>
      </w:r>
      <w:r>
        <w:t>, your odds of beating the growth index are 1 in 100.</w:t>
      </w:r>
    </w:p>
    <w:p w14:paraId="3535C2DB" w14:textId="6B361812" w:rsidR="00123028" w:rsidRDefault="001E3830" w:rsidP="00796125">
      <w:pPr>
        <w:pStyle w:val="Heading1"/>
        <w:numPr>
          <w:ilvl w:val="0"/>
          <w:numId w:val="23"/>
        </w:numPr>
        <w:tabs>
          <w:tab w:val="left" w:pos="720"/>
        </w:tabs>
        <w:spacing w:before="240"/>
        <w:ind w:left="0" w:hanging="540"/>
      </w:pPr>
      <w:r>
        <w:t xml:space="preserve">History of </w:t>
      </w:r>
      <w:r w:rsidR="00BB4525">
        <w:t>Factor Research</w:t>
      </w:r>
      <w:r w:rsidR="00123028">
        <w:t>:</w:t>
      </w:r>
    </w:p>
    <w:p w14:paraId="53E859BF" w14:textId="77777777" w:rsidR="00796125" w:rsidRDefault="00796125" w:rsidP="00796125">
      <w:pPr>
        <w:tabs>
          <w:tab w:val="left" w:pos="720"/>
        </w:tabs>
      </w:pPr>
      <w:r w:rsidRPr="00123028">
        <w:t>Harry Markowitz introduced Modern portfolio theory in a 1952 essay</w:t>
      </w:r>
      <w:r>
        <w:t xml:space="preserve">, for which he was later awarded a Nobel Prize. His researched was based on the concept of “risk averse” investors, </w:t>
      </w:r>
      <w:r w:rsidRPr="004132E9">
        <w:t xml:space="preserve">meaning that given two portfolios </w:t>
      </w:r>
      <w:r>
        <w:t>with the</w:t>
      </w:r>
      <w:r w:rsidRPr="004132E9">
        <w:t xml:space="preserve"> same expected return, investors will prefer the less risky one.</w:t>
      </w:r>
      <w:r>
        <w:t xml:space="preserve"> Therefore, the goal for an investor would be to construct a portfolio comprising different parts (assets), that when added together generates high returns and lower risk (volatility) than their individual elements. Ultimately, the “</w:t>
      </w:r>
      <w:r w:rsidRPr="004132E9">
        <w:t>efficient frontier”</w:t>
      </w:r>
      <w:r>
        <w:t xml:space="preserve"> is a theoretical portfolio with the perfect combination to maximizes expected return/risk.</w:t>
      </w:r>
    </w:p>
    <w:p w14:paraId="3921F972" w14:textId="3D58BB28" w:rsidR="00796125" w:rsidRDefault="00796125" w:rsidP="00796125">
      <w:pPr>
        <w:tabs>
          <w:tab w:val="left" w:pos="720"/>
        </w:tabs>
      </w:pPr>
      <w:r>
        <w:t xml:space="preserve">Since the development of the first asset pricing model, academic research has attempted to explain stock returns. In 1961, the </w:t>
      </w:r>
      <w:r w:rsidRPr="00186D66">
        <w:t xml:space="preserve">Capital </w:t>
      </w:r>
      <w:r>
        <w:t>A</w:t>
      </w:r>
      <w:r w:rsidRPr="00186D66">
        <w:t>s</w:t>
      </w:r>
      <w:r>
        <w:t>s</w:t>
      </w:r>
      <w:r w:rsidRPr="00186D66">
        <w:t xml:space="preserve">et </w:t>
      </w:r>
      <w:r>
        <w:t>P</w:t>
      </w:r>
      <w:r w:rsidRPr="00186D66">
        <w:t xml:space="preserve">ricing </w:t>
      </w:r>
      <w:r>
        <w:t>M</w:t>
      </w:r>
      <w:r w:rsidRPr="00186D66">
        <w:t xml:space="preserve">odel </w:t>
      </w:r>
      <w:r>
        <w:t>(</w:t>
      </w:r>
      <w:r w:rsidRPr="00BE00A1">
        <w:t>CAPM</w:t>
      </w:r>
      <w:r>
        <w:t xml:space="preserve">) was released and used a </w:t>
      </w:r>
      <w:r w:rsidRPr="00BE00A1">
        <w:t>single</w:t>
      </w:r>
      <w:r>
        <w:t xml:space="preserve">-factor, beta (stock volatility), to explain stock returns. The </w:t>
      </w:r>
      <w:r w:rsidRPr="00BE00A1">
        <w:t>CAPM</w:t>
      </w:r>
      <w:r>
        <w:t xml:space="preserve"> model suggested that higher volatility stocks should have a higher expected rate of return, otherwise a rational investor wouldn’t invest. In the 60 years since CAPMs introduction, current a</w:t>
      </w:r>
      <w:r w:rsidRPr="00077C73">
        <w:t>cademic evidence</w:t>
      </w:r>
      <w:r>
        <w:t xml:space="preserve"> now shows the opposite, higher volatility stocks</w:t>
      </w:r>
      <w:r w:rsidRPr="00077C73">
        <w:t xml:space="preserve"> underperform</w:t>
      </w:r>
      <w:r>
        <w:t xml:space="preserve"> once other variables are held constant.</w:t>
      </w:r>
    </w:p>
    <w:p w14:paraId="711476E4" w14:textId="35D9B9D0" w:rsidR="00796125" w:rsidRDefault="00796125" w:rsidP="00796125">
      <w:pPr>
        <w:tabs>
          <w:tab w:val="left" w:pos="720"/>
        </w:tabs>
      </w:pPr>
      <w:r>
        <w:t xml:space="preserve">From CAPM, academic researched </w:t>
      </w:r>
      <w:r w:rsidRPr="00BE00A1">
        <w:t>moved to the Fama-French three-factor model (</w:t>
      </w:r>
      <w:r>
        <w:t>volatility,</w:t>
      </w:r>
      <w:r w:rsidRPr="00BE00A1">
        <w:t xml:space="preserve"> size and value), </w:t>
      </w:r>
      <w:r>
        <w:t xml:space="preserve">then </w:t>
      </w:r>
      <w:r w:rsidRPr="00BE00A1">
        <w:t>to the Carhart four-factor model (</w:t>
      </w:r>
      <w:r>
        <w:t xml:space="preserve">which </w:t>
      </w:r>
      <w:r w:rsidRPr="00BE00A1">
        <w:t>add</w:t>
      </w:r>
      <w:r>
        <w:t>ed</w:t>
      </w:r>
      <w:r w:rsidRPr="00BE00A1">
        <w:t xml:space="preserve"> momentum)</w:t>
      </w:r>
      <w:r>
        <w:t xml:space="preserve">, then to the </w:t>
      </w:r>
      <w:r w:rsidRPr="00BE00A1">
        <w:t>q-factor model (</w:t>
      </w:r>
      <w:r>
        <w:t>volatility</w:t>
      </w:r>
      <w:r w:rsidRPr="00BE00A1">
        <w:t xml:space="preserve">, size, investment, </w:t>
      </w:r>
      <w:r>
        <w:t xml:space="preserve">and </w:t>
      </w:r>
      <w:r w:rsidRPr="00BE00A1">
        <w:t xml:space="preserve">profitability), </w:t>
      </w:r>
      <w:r>
        <w:t xml:space="preserve">and then </w:t>
      </w:r>
      <w:r w:rsidRPr="00BE00A1">
        <w:t>to the Fama-French five-factor (</w:t>
      </w:r>
      <w:r>
        <w:t xml:space="preserve">which </w:t>
      </w:r>
      <w:r w:rsidRPr="00BE00A1">
        <w:t>add</w:t>
      </w:r>
      <w:r>
        <w:t>ed</w:t>
      </w:r>
      <w:r w:rsidRPr="00BE00A1">
        <w:t xml:space="preserve"> value to the q-factor model) and</w:t>
      </w:r>
      <w:r>
        <w:t xml:space="preserve"> then to</w:t>
      </w:r>
      <w:r w:rsidRPr="00BE00A1">
        <w:t xml:space="preserve"> six-factor models (</w:t>
      </w:r>
      <w:r>
        <w:t xml:space="preserve">which </w:t>
      </w:r>
      <w:r w:rsidRPr="00BE00A1">
        <w:t>add</w:t>
      </w:r>
      <w:r>
        <w:t>ed</w:t>
      </w:r>
      <w:r w:rsidRPr="00BE00A1">
        <w:t xml:space="preserve"> value and momentum to the q-factor model).</w:t>
      </w:r>
    </w:p>
    <w:p w14:paraId="4759DAF6" w14:textId="61F437FB" w:rsidR="004132E9" w:rsidRPr="004132E9" w:rsidRDefault="002A1A80" w:rsidP="00796125">
      <w:pPr>
        <w:tabs>
          <w:tab w:val="left" w:pos="720"/>
        </w:tabs>
      </w:pPr>
      <w:r>
        <w:t>The search for truth in a</w:t>
      </w:r>
      <w:r w:rsidR="004132E9" w:rsidRPr="004132E9">
        <w:t>cademic research is amazing and incredibly useful for helping us better understand the complex world in which we live.</w:t>
      </w:r>
      <w:r w:rsidRPr="002A1A80">
        <w:t xml:space="preserve"> </w:t>
      </w:r>
      <w:r>
        <w:t xml:space="preserve">In </w:t>
      </w:r>
      <w:r w:rsidR="004132E9">
        <w:t>F</w:t>
      </w:r>
      <w:r w:rsidR="004132E9" w:rsidRPr="004132E9">
        <w:t>inanc</w:t>
      </w:r>
      <w:r>
        <w:t xml:space="preserve">e, </w:t>
      </w:r>
      <w:r w:rsidR="004132E9" w:rsidRPr="004132E9">
        <w:t xml:space="preserve">economists continue to advance our </w:t>
      </w:r>
      <w:r w:rsidR="004132E9" w:rsidRPr="004132E9">
        <w:lastRenderedPageBreak/>
        <w:t>understanding of how markets work and how prices are set.</w:t>
      </w:r>
      <w:r w:rsidRPr="002A1A80">
        <w:t xml:space="preserve"> </w:t>
      </w:r>
      <w:r>
        <w:t>While</w:t>
      </w:r>
      <w:r w:rsidRPr="002A1A80">
        <w:t xml:space="preserve"> the search for truth is </w:t>
      </w:r>
      <w:r>
        <w:t xml:space="preserve">sometimes </w:t>
      </w:r>
      <w:r w:rsidRPr="002A1A80">
        <w:t>messy</w:t>
      </w:r>
      <w:r>
        <w:t>, the results have undeniably changed the world.</w:t>
      </w:r>
    </w:p>
    <w:p w14:paraId="768751F9" w14:textId="2F63009B" w:rsidR="00796125" w:rsidRDefault="00796125" w:rsidP="00796125">
      <w:pPr>
        <w:pStyle w:val="Heading2"/>
        <w:tabs>
          <w:tab w:val="left" w:pos="720"/>
        </w:tabs>
      </w:pPr>
      <w:r>
        <w:t>Overview of popular factors</w:t>
      </w:r>
    </w:p>
    <w:p w14:paraId="5ACEA8C3" w14:textId="77777777" w:rsidR="00796125" w:rsidRPr="009C15C9" w:rsidRDefault="00796125" w:rsidP="00796125">
      <w:pPr>
        <w:pStyle w:val="Heading3"/>
        <w:keepNext/>
        <w:widowControl/>
        <w:tabs>
          <w:tab w:val="left" w:pos="720"/>
        </w:tabs>
        <w:spacing w:before="160"/>
      </w:pPr>
      <w:r w:rsidRPr="009C15C9">
        <w:t>Value</w:t>
      </w:r>
    </w:p>
    <w:p w14:paraId="452D3115" w14:textId="77777777" w:rsidR="00796125" w:rsidRDefault="00796125" w:rsidP="00796125">
      <w:pPr>
        <w:tabs>
          <w:tab w:val="left" w:pos="720"/>
        </w:tabs>
      </w:pPr>
      <w:r>
        <w:t>Value is perhaps the most famous factor, is the tendency for relatively cheap stocks to outperform relatively expensive stocks over time. This factor has been around for almost a century, beginning with the “father of value investing,” Columbia Professor Benjamin Graham. His ground-breaking works “Security Analysis” (1934) and “The Intelligent Investor” (1949) laid the groundwork for the value investing philosophy.</w:t>
      </w:r>
    </w:p>
    <w:p w14:paraId="71C0D036" w14:textId="77777777" w:rsidR="00796125" w:rsidRPr="009C15C9" w:rsidRDefault="00796125" w:rsidP="00796125">
      <w:pPr>
        <w:pStyle w:val="Heading3"/>
        <w:keepNext/>
        <w:widowControl/>
        <w:tabs>
          <w:tab w:val="left" w:pos="720"/>
        </w:tabs>
        <w:spacing w:before="160"/>
      </w:pPr>
      <w:r w:rsidRPr="009C15C9">
        <w:t>Quality</w:t>
      </w:r>
    </w:p>
    <w:p w14:paraId="0D00A2CD" w14:textId="77777777" w:rsidR="00796125" w:rsidRDefault="00796125" w:rsidP="00796125">
      <w:pPr>
        <w:tabs>
          <w:tab w:val="left" w:pos="720"/>
        </w:tabs>
      </w:pPr>
      <w:r>
        <w:t xml:space="preserve">Quality/profitability </w:t>
      </w:r>
      <w:r w:rsidRPr="00471ED3">
        <w:t xml:space="preserve">is the observation that investing in highly profitable </w:t>
      </w:r>
      <w:r>
        <w:t xml:space="preserve">stocks tend to </w:t>
      </w:r>
      <w:r w:rsidRPr="00471ED3">
        <w:t xml:space="preserve">significantly </w:t>
      </w:r>
      <w:r>
        <w:t>outperform companies</w:t>
      </w:r>
      <w:r w:rsidRPr="00471ED3">
        <w:t xml:space="preserve"> of lower profitability.</w:t>
      </w:r>
      <w:r>
        <w:t xml:space="preserve"> The academic work on the profitability premium comes from </w:t>
      </w:r>
      <w:proofErr w:type="spellStart"/>
      <w:r>
        <w:t>Novy</w:t>
      </w:r>
      <w:proofErr w:type="spellEnd"/>
      <w:r>
        <w:t xml:space="preserve">-Marx and his 2013 paper, “The Other Side of Value: The Gross Profitability Premium.” He found that from 1962 to 2010, the most profitable firm’s stock gained of 0.31% more per month more than the least profitable firms. </w:t>
      </w:r>
    </w:p>
    <w:p w14:paraId="6C725DA0" w14:textId="77777777" w:rsidR="00796125" w:rsidRPr="00B44E0D" w:rsidRDefault="00796125" w:rsidP="00796125">
      <w:pPr>
        <w:tabs>
          <w:tab w:val="left" w:pos="720"/>
        </w:tabs>
      </w:pPr>
      <w:r>
        <w:t xml:space="preserve">In addition, </w:t>
      </w:r>
      <w:proofErr w:type="spellStart"/>
      <w:r>
        <w:t>Novy</w:t>
      </w:r>
      <w:proofErr w:type="spellEnd"/>
      <w:r>
        <w:t>-Marx found that Value + Quality resulted in a dramatic increase in performance compared to value-only strategies; b</w:t>
      </w:r>
      <w:r w:rsidRPr="00B44E0D">
        <w:t>etween July 1963 and December 2010 (the sample period), a combined strategy of gross profit and value never generated a losing five-year return.</w:t>
      </w:r>
    </w:p>
    <w:p w14:paraId="7A7EA414" w14:textId="1010C50D" w:rsidR="00796125" w:rsidRPr="009C15C9" w:rsidRDefault="00796125" w:rsidP="00796125">
      <w:pPr>
        <w:pStyle w:val="Heading3"/>
        <w:keepNext/>
        <w:widowControl/>
        <w:tabs>
          <w:tab w:val="left" w:pos="720"/>
        </w:tabs>
        <w:spacing w:before="160"/>
      </w:pPr>
      <w:r w:rsidRPr="009C15C9">
        <w:t>Volatility</w:t>
      </w:r>
    </w:p>
    <w:p w14:paraId="67699544" w14:textId="77777777" w:rsidR="00796125" w:rsidRDefault="00796125" w:rsidP="00796125">
      <w:pPr>
        <w:tabs>
          <w:tab w:val="left" w:pos="720"/>
        </w:tabs>
      </w:pPr>
      <w:r>
        <w:t>The low volatility factor is the empirical observation that “defensive” stocks (low-volatility, low-risk) have delivered both higher absolute returns and higher risk-adjusted returns compared to aggressive, high-volatility, high-risk stocks.</w:t>
      </w:r>
    </w:p>
    <w:p w14:paraId="2EBDBB57" w14:textId="77777777" w:rsidR="00796125" w:rsidRPr="009C15C9" w:rsidRDefault="00796125" w:rsidP="00796125">
      <w:pPr>
        <w:pStyle w:val="Heading3"/>
        <w:keepNext/>
        <w:widowControl/>
        <w:tabs>
          <w:tab w:val="left" w:pos="720"/>
        </w:tabs>
        <w:spacing w:before="160"/>
      </w:pPr>
      <w:r w:rsidRPr="009C15C9">
        <w:t>Momentum</w:t>
      </w:r>
    </w:p>
    <w:p w14:paraId="3FC8CBB4" w14:textId="77777777" w:rsidR="00796125" w:rsidRDefault="00796125" w:rsidP="00796125">
      <w:pPr>
        <w:tabs>
          <w:tab w:val="left" w:pos="720"/>
        </w:tabs>
      </w:pPr>
      <w:r>
        <w:t xml:space="preserve">Time-series momentum is using a security’s own historical price performance to dictate investments. Momentum is perhaps the oldest and most successful investment style in the hedge fund industry. </w:t>
      </w:r>
    </w:p>
    <w:p w14:paraId="795AA779" w14:textId="77777777" w:rsidR="00796125" w:rsidRPr="009C15C9" w:rsidRDefault="00796125" w:rsidP="00796125">
      <w:pPr>
        <w:pStyle w:val="Heading3"/>
        <w:keepNext/>
        <w:widowControl/>
        <w:tabs>
          <w:tab w:val="left" w:pos="720"/>
        </w:tabs>
        <w:spacing w:before="160"/>
      </w:pPr>
      <w:r w:rsidRPr="009C15C9">
        <w:t>Small Size</w:t>
      </w:r>
    </w:p>
    <w:p w14:paraId="258A2D51" w14:textId="0CFBC8F0" w:rsidR="00796125" w:rsidRPr="00796125" w:rsidRDefault="00796125" w:rsidP="00796125">
      <w:pPr>
        <w:tabs>
          <w:tab w:val="left" w:pos="720"/>
        </w:tabs>
      </w:pPr>
      <w:r w:rsidRPr="006B1A8C">
        <w:t>One of the oldest and most persuasive arguments in the stock market is that small stocks outperform large stocks.</w:t>
      </w:r>
      <w:r>
        <w:t xml:space="preserve"> To quote </w:t>
      </w:r>
      <w:r w:rsidRPr="00FA1608">
        <w:t>Cliff Asness</w:t>
      </w:r>
      <w:r>
        <w:t xml:space="preserve"> Ph.D., billionaire, and founder of AQR Capital, “</w:t>
      </w:r>
      <w:r w:rsidRPr="00FA1608">
        <w:t>There Is No Size Effect</w:t>
      </w:r>
      <w:r>
        <w:t>”</w:t>
      </w:r>
    </w:p>
    <w:p w14:paraId="630501A6" w14:textId="74D454DD" w:rsidR="00796125" w:rsidRDefault="00796125" w:rsidP="00796125">
      <w:pPr>
        <w:pStyle w:val="Heading2"/>
        <w:tabs>
          <w:tab w:val="left" w:pos="720"/>
        </w:tabs>
      </w:pPr>
      <w:r>
        <w:t>The History of Factor Research</w:t>
      </w:r>
    </w:p>
    <w:p w14:paraId="047307A3" w14:textId="36593DBD" w:rsidR="00BB4525" w:rsidRPr="00D47FB3" w:rsidRDefault="00BB4525" w:rsidP="00796125">
      <w:pPr>
        <w:pStyle w:val="Heading3"/>
        <w:keepNext/>
        <w:widowControl/>
        <w:tabs>
          <w:tab w:val="left" w:pos="720"/>
        </w:tabs>
        <w:spacing w:before="160"/>
      </w:pPr>
      <w:r w:rsidRPr="00D47FB3">
        <w:t>Discovery of Market Risk</w:t>
      </w:r>
      <w:r w:rsidR="00351BDD" w:rsidRPr="00D47FB3">
        <w:t>:</w:t>
      </w:r>
    </w:p>
    <w:p w14:paraId="6795CACA" w14:textId="35BBE5FE" w:rsidR="002A1A80" w:rsidRDefault="004132E9" w:rsidP="00796125">
      <w:pPr>
        <w:tabs>
          <w:tab w:val="left" w:pos="720"/>
        </w:tabs>
      </w:pPr>
      <w:r>
        <w:t xml:space="preserve">In the 1960s, </w:t>
      </w:r>
      <w:r w:rsidR="00123028">
        <w:t>a</w:t>
      </w:r>
      <w:r w:rsidR="00123028" w:rsidRPr="00123028">
        <w:t xml:space="preserve">cademic models </w:t>
      </w:r>
      <w:r w:rsidR="002A1A80">
        <w:t xml:space="preserve">advanced with the introduction of the </w:t>
      </w:r>
      <w:r w:rsidR="002A1A80" w:rsidRPr="002A1A80">
        <w:t xml:space="preserve">Capital </w:t>
      </w:r>
      <w:r w:rsidR="002A1A80">
        <w:t>A</w:t>
      </w:r>
      <w:r w:rsidR="002A1A80" w:rsidRPr="002A1A80">
        <w:t xml:space="preserve">sset </w:t>
      </w:r>
      <w:r w:rsidR="002A1A80">
        <w:t>P</w:t>
      </w:r>
      <w:r w:rsidR="002A1A80" w:rsidRPr="002A1A80">
        <w:t xml:space="preserve">ricing </w:t>
      </w:r>
      <w:r w:rsidR="002A1A80">
        <w:t>M</w:t>
      </w:r>
      <w:r w:rsidR="002A1A80" w:rsidRPr="002A1A80">
        <w:t>odel</w:t>
      </w:r>
      <w:r w:rsidR="002A1A80">
        <w:t xml:space="preserve">. The approach incorporated market volatility to explain the volatility in an individual stocks. </w:t>
      </w:r>
      <w:r w:rsidR="00174DD6">
        <w:t xml:space="preserve">The research was highly </w:t>
      </w:r>
      <w:r w:rsidR="00174DD6" w:rsidRPr="00174DD6">
        <w:t>influential</w:t>
      </w:r>
      <w:r w:rsidR="00174DD6">
        <w:t xml:space="preserve">, led to </w:t>
      </w:r>
      <w:r w:rsidR="00174DD6" w:rsidRPr="00174DD6">
        <w:t>widespread adoption of the CAPM</w:t>
      </w:r>
      <w:r w:rsidR="00174DD6">
        <w:t xml:space="preserve"> and is still taught to CFP students today. </w:t>
      </w:r>
      <w:r w:rsidR="002A1A80">
        <w:t xml:space="preserve">William Sharpe would go on to receive Nobel Prize along with </w:t>
      </w:r>
      <w:r w:rsidR="002A1A80" w:rsidRPr="00123028">
        <w:t>Markowitz</w:t>
      </w:r>
      <w:r w:rsidR="002A1A80">
        <w:t>.</w:t>
      </w:r>
    </w:p>
    <w:p w14:paraId="49F65E62" w14:textId="39CFA318" w:rsidR="00BB4525" w:rsidRPr="00D47FB3" w:rsidRDefault="00BB4525" w:rsidP="00796125">
      <w:pPr>
        <w:pStyle w:val="Heading3"/>
        <w:keepNext/>
        <w:widowControl/>
        <w:tabs>
          <w:tab w:val="left" w:pos="720"/>
        </w:tabs>
        <w:spacing w:before="160"/>
      </w:pPr>
      <w:r w:rsidRPr="00D47FB3">
        <w:t>Discovery of Value &amp; Size</w:t>
      </w:r>
      <w:r w:rsidR="00351BDD" w:rsidRPr="00D47FB3">
        <w:t>:</w:t>
      </w:r>
    </w:p>
    <w:p w14:paraId="7EF51C9B" w14:textId="01CC0B45" w:rsidR="00A63F48" w:rsidRDefault="0054412C" w:rsidP="00796125">
      <w:pPr>
        <w:tabs>
          <w:tab w:val="left" w:pos="720"/>
        </w:tabs>
      </w:pPr>
      <w:r>
        <w:t>In 199</w:t>
      </w:r>
      <w:r w:rsidR="00BB4525">
        <w:t>3</w:t>
      </w:r>
      <w:r>
        <w:t>, t</w:t>
      </w:r>
      <w:r w:rsidR="002A1A80" w:rsidRPr="002A1A80">
        <w:t xml:space="preserve">he Fama-French </w:t>
      </w:r>
      <w:r w:rsidR="00174DD6">
        <w:t>3</w:t>
      </w:r>
      <w:r w:rsidR="002A1A80" w:rsidRPr="002A1A80">
        <w:t>-factor model</w:t>
      </w:r>
      <w:r>
        <w:t xml:space="preserve"> </w:t>
      </w:r>
      <w:r w:rsidR="002A1A80" w:rsidRPr="002A1A80">
        <w:t xml:space="preserve">was </w:t>
      </w:r>
      <w:r>
        <w:t>released</w:t>
      </w:r>
      <w:r w:rsidRPr="002A1A80">
        <w:t xml:space="preserve"> </w:t>
      </w:r>
      <w:r>
        <w:t xml:space="preserve">and was </w:t>
      </w:r>
      <w:r w:rsidR="002A1A80" w:rsidRPr="002A1A80">
        <w:t>a significant improvement on the single-</w:t>
      </w:r>
      <w:r w:rsidR="002A1A80" w:rsidRPr="002A1A80">
        <w:lastRenderedPageBreak/>
        <w:t>factor CAPM.</w:t>
      </w:r>
      <w:r>
        <w:t xml:space="preserve"> Fama-French added two new variables, Size and Value, after the observation that small caps and stocks with </w:t>
      </w:r>
      <w:r w:rsidRPr="00174DD6">
        <w:t>a high book-to-market ratio</w:t>
      </w:r>
      <w:r>
        <w:t xml:space="preserve"> (</w:t>
      </w:r>
      <w:r w:rsidR="00796125">
        <w:t>V</w:t>
      </w:r>
      <w:r>
        <w:t>alue) tended to outperform the market. The</w:t>
      </w:r>
      <w:r w:rsidR="00174DD6">
        <w:t xml:space="preserve"> </w:t>
      </w:r>
      <w:r w:rsidRPr="002A1A80">
        <w:t xml:space="preserve">Fama-French </w:t>
      </w:r>
      <w:r>
        <w:t>3</w:t>
      </w:r>
      <w:r w:rsidRPr="002A1A80">
        <w:t>-factor model</w:t>
      </w:r>
      <w:r>
        <w:t xml:space="preserve"> </w:t>
      </w:r>
      <w:r w:rsidRPr="0054412C">
        <w:t>explain</w:t>
      </w:r>
      <w:r>
        <w:t>ed</w:t>
      </w:r>
      <w:r w:rsidRPr="0054412C">
        <w:t xml:space="preserve"> over 90% of the diversified portfolios returns, compared with the 70% </w:t>
      </w:r>
      <w:r>
        <w:t xml:space="preserve">explanatory power of </w:t>
      </w:r>
      <w:r w:rsidRPr="0054412C">
        <w:t>the CAPM</w:t>
      </w:r>
      <w:r>
        <w:t xml:space="preserve">. </w:t>
      </w:r>
      <w:r w:rsidR="00A63F48">
        <w:t xml:space="preserve">Eugene </w:t>
      </w:r>
      <w:r w:rsidR="00A63F48" w:rsidRPr="00AA3BC7">
        <w:t>Fama</w:t>
      </w:r>
      <w:r w:rsidR="00A63F48">
        <w:t xml:space="preserve"> would ultimately be</w:t>
      </w:r>
      <w:r w:rsidR="00A63F48" w:rsidRPr="00AA3BC7">
        <w:t xml:space="preserve"> widely recognized as the "father of modern finance"</w:t>
      </w:r>
      <w:r w:rsidR="00A63F48">
        <w:t xml:space="preserve"> for his work on Efficient Market Theory and would later win the</w:t>
      </w:r>
      <w:r w:rsidR="00A63F48" w:rsidRPr="00AA3BC7">
        <w:t xml:space="preserve"> 2013 Nobel </w:t>
      </w:r>
      <w:r w:rsidR="00A63F48">
        <w:t>Prize.</w:t>
      </w:r>
    </w:p>
    <w:p w14:paraId="4E1310AB" w14:textId="658E0232" w:rsidR="00174DD6" w:rsidRPr="00A63F48" w:rsidRDefault="0054412C" w:rsidP="00796125">
      <w:pPr>
        <w:tabs>
          <w:tab w:val="left" w:pos="720"/>
        </w:tabs>
        <w:jc w:val="center"/>
        <w:rPr>
          <w:b/>
          <w:bCs/>
        </w:rPr>
      </w:pPr>
      <w:r w:rsidRPr="00A63F48">
        <w:rPr>
          <w:b/>
          <w:bCs/>
        </w:rPr>
        <w:t>Fama</w:t>
      </w:r>
      <w:r w:rsidR="00B44568">
        <w:rPr>
          <w:b/>
          <w:bCs/>
        </w:rPr>
        <w:t xml:space="preserve"> </w:t>
      </w:r>
      <w:r w:rsidRPr="00A63F48">
        <w:rPr>
          <w:b/>
          <w:bCs/>
        </w:rPr>
        <w:t xml:space="preserve">French 3-factor: </w:t>
      </w:r>
      <w:r w:rsidR="007D4613" w:rsidRPr="00A63F48">
        <w:rPr>
          <w:b/>
          <w:bCs/>
          <w:i/>
          <w:iCs/>
        </w:rPr>
        <w:t>Volatility</w:t>
      </w:r>
      <w:r w:rsidR="00EE3AEA">
        <w:rPr>
          <w:b/>
          <w:bCs/>
          <w:i/>
          <w:iCs/>
        </w:rPr>
        <w:t xml:space="preserve"> </w:t>
      </w:r>
      <w:r w:rsidR="00174DD6" w:rsidRPr="00A63F48">
        <w:rPr>
          <w:b/>
          <w:bCs/>
          <w:i/>
          <w:iCs/>
        </w:rPr>
        <w:t xml:space="preserve">+ </w:t>
      </w:r>
      <w:r w:rsidRPr="00A63F48">
        <w:rPr>
          <w:b/>
          <w:bCs/>
          <w:i/>
          <w:iCs/>
        </w:rPr>
        <w:t>[</w:t>
      </w:r>
      <w:r w:rsidR="00174DD6" w:rsidRPr="00A63F48">
        <w:rPr>
          <w:b/>
          <w:bCs/>
          <w:i/>
          <w:iCs/>
        </w:rPr>
        <w:t>Small</w:t>
      </w:r>
      <w:r w:rsidRPr="00A63F48">
        <w:rPr>
          <w:b/>
          <w:bCs/>
          <w:i/>
          <w:iCs/>
        </w:rPr>
        <w:t>]</w:t>
      </w:r>
      <w:r w:rsidR="00174DD6" w:rsidRPr="00A63F48">
        <w:rPr>
          <w:b/>
          <w:bCs/>
          <w:i/>
          <w:iCs/>
        </w:rPr>
        <w:t xml:space="preserve"> Size + Value</w:t>
      </w:r>
    </w:p>
    <w:p w14:paraId="4D559220" w14:textId="79B1305D" w:rsidR="00BB4525" w:rsidRPr="00D47FB3" w:rsidRDefault="00BB4525" w:rsidP="00796125">
      <w:pPr>
        <w:pStyle w:val="Heading3"/>
        <w:keepNext/>
        <w:widowControl/>
        <w:tabs>
          <w:tab w:val="left" w:pos="720"/>
        </w:tabs>
        <w:spacing w:before="160"/>
      </w:pPr>
      <w:r w:rsidRPr="00D47FB3">
        <w:t>Discovery of Momentum</w:t>
      </w:r>
      <w:r w:rsidR="00351BDD" w:rsidRPr="00D47FB3">
        <w:t>:</w:t>
      </w:r>
    </w:p>
    <w:p w14:paraId="154C52F9" w14:textId="4B91A6D4" w:rsidR="0054412C" w:rsidRDefault="0054412C" w:rsidP="00796125">
      <w:pPr>
        <w:tabs>
          <w:tab w:val="left" w:pos="720"/>
        </w:tabs>
      </w:pPr>
      <w:r>
        <w:t xml:space="preserve">In 1997, Mark Carhart added </w:t>
      </w:r>
      <w:r w:rsidR="00BB4525">
        <w:t>M</w:t>
      </w:r>
      <w:r>
        <w:t xml:space="preserve">omentum to the </w:t>
      </w:r>
      <w:r w:rsidRPr="0054412C">
        <w:t>Fama–French three-factor model</w:t>
      </w:r>
      <w:r w:rsidR="00BB4525">
        <w:t>. Defining</w:t>
      </w:r>
      <w:r w:rsidR="00BB4525" w:rsidRPr="00BB4525">
        <w:t xml:space="preserve"> Momentum </w:t>
      </w:r>
      <w:r w:rsidR="00BB4525">
        <w:t>as the difference in return from the highest performing stocks from the return of the lowest.</w:t>
      </w:r>
    </w:p>
    <w:p w14:paraId="53015CCC" w14:textId="50051D85" w:rsidR="00BB4525" w:rsidRPr="00A63F48" w:rsidRDefault="00BB4525" w:rsidP="00796125">
      <w:pPr>
        <w:tabs>
          <w:tab w:val="left" w:pos="720"/>
        </w:tabs>
        <w:jc w:val="center"/>
        <w:rPr>
          <w:b/>
          <w:bCs/>
        </w:rPr>
      </w:pPr>
      <w:r w:rsidRPr="00A63F48">
        <w:rPr>
          <w:b/>
          <w:bCs/>
        </w:rPr>
        <w:t xml:space="preserve">Carhart 4-factor: </w:t>
      </w:r>
      <w:r w:rsidR="004610F2" w:rsidRPr="00A63F48">
        <w:rPr>
          <w:b/>
          <w:bCs/>
        </w:rPr>
        <w:t>Fama-French 3-factor</w:t>
      </w:r>
      <w:r w:rsidR="004610F2" w:rsidRPr="00A63F48">
        <w:rPr>
          <w:b/>
          <w:bCs/>
          <w:i/>
          <w:iCs/>
        </w:rPr>
        <w:t xml:space="preserve"> </w:t>
      </w:r>
      <w:r w:rsidRPr="00A63F48">
        <w:rPr>
          <w:b/>
          <w:bCs/>
          <w:i/>
          <w:iCs/>
        </w:rPr>
        <w:t>+ Momentum</w:t>
      </w:r>
    </w:p>
    <w:p w14:paraId="0D037D63" w14:textId="783FF096" w:rsidR="007D4613" w:rsidRDefault="007D4613" w:rsidP="00796125">
      <w:pPr>
        <w:pStyle w:val="Heading3"/>
        <w:keepNext/>
        <w:widowControl/>
        <w:tabs>
          <w:tab w:val="left" w:pos="720"/>
        </w:tabs>
        <w:spacing w:before="160"/>
      </w:pPr>
      <w:r w:rsidRPr="00D47FB3">
        <w:t xml:space="preserve">Discovery of </w:t>
      </w:r>
      <w:r w:rsidR="0032325D" w:rsidRPr="00D47FB3">
        <w:t>Profitability</w:t>
      </w:r>
      <w:r w:rsidR="00A63F48">
        <w:t xml:space="preserve"> and</w:t>
      </w:r>
      <w:r w:rsidRPr="00D47FB3">
        <w:t xml:space="preserve"> Investment</w:t>
      </w:r>
      <w:r w:rsidR="00A63F48">
        <w:t xml:space="preserve">. </w:t>
      </w:r>
      <w:r w:rsidR="00A80C9A">
        <w:t>Value</w:t>
      </w:r>
      <w:r w:rsidR="00A63F48">
        <w:t xml:space="preserve"> is eliminated</w:t>
      </w:r>
      <w:r w:rsidR="00351BDD" w:rsidRPr="00D47FB3">
        <w:t>:</w:t>
      </w:r>
    </w:p>
    <w:p w14:paraId="017276F6" w14:textId="7A37208F" w:rsidR="0088563B" w:rsidRDefault="00351BDD" w:rsidP="00796125">
      <w:pPr>
        <w:tabs>
          <w:tab w:val="left" w:pos="720"/>
        </w:tabs>
      </w:pPr>
      <w:r>
        <w:t xml:space="preserve">In 2015, </w:t>
      </w:r>
      <w:r w:rsidRPr="00AA3BC7">
        <w:t xml:space="preserve">Hou, Xue, </w:t>
      </w:r>
      <w:r w:rsidR="00A63F48">
        <w:t xml:space="preserve">and </w:t>
      </w:r>
      <w:r>
        <w:t xml:space="preserve">Zhang, </w:t>
      </w:r>
      <w:r w:rsidR="0088563B">
        <w:t>published t</w:t>
      </w:r>
      <w:r w:rsidR="00BB4525">
        <w:t xml:space="preserve">he </w:t>
      </w:r>
      <w:r w:rsidR="00BB4525" w:rsidRPr="00BE00A1">
        <w:t>q-factor mode</w:t>
      </w:r>
      <w:r w:rsidR="00A63F48">
        <w:t xml:space="preserve">, a new </w:t>
      </w:r>
      <w:r w:rsidR="0032325D">
        <w:t xml:space="preserve">four-factor model that completely threw out </w:t>
      </w:r>
      <w:r w:rsidR="00AA3BC7">
        <w:t>V</w:t>
      </w:r>
      <w:r w:rsidR="0032325D">
        <w:t xml:space="preserve">alue </w:t>
      </w:r>
      <w:r w:rsidR="00BA1D36">
        <w:t>and, in its place,</w:t>
      </w:r>
      <w:r w:rsidR="0032325D">
        <w:t xml:space="preserve"> added Profitability and Investment.</w:t>
      </w:r>
    </w:p>
    <w:p w14:paraId="5922403A" w14:textId="13F72A48" w:rsidR="0032325D" w:rsidRPr="00A63F48" w:rsidRDefault="0032325D" w:rsidP="00796125">
      <w:pPr>
        <w:tabs>
          <w:tab w:val="left" w:pos="720"/>
        </w:tabs>
        <w:jc w:val="center"/>
        <w:rPr>
          <w:b/>
          <w:bCs/>
        </w:rPr>
      </w:pPr>
      <w:r w:rsidRPr="00A63F48">
        <w:rPr>
          <w:b/>
          <w:bCs/>
        </w:rPr>
        <w:t xml:space="preserve">q-factor: </w:t>
      </w:r>
      <w:r w:rsidRPr="00A63F48">
        <w:rPr>
          <w:b/>
          <w:bCs/>
          <w:i/>
          <w:iCs/>
        </w:rPr>
        <w:t xml:space="preserve">Volatility + Size + </w:t>
      </w:r>
      <w:r w:rsidR="00697C25" w:rsidRPr="00A63F48">
        <w:rPr>
          <w:b/>
          <w:bCs/>
          <w:i/>
          <w:iCs/>
        </w:rPr>
        <w:t>Profitability</w:t>
      </w:r>
      <w:r w:rsidRPr="00A63F48">
        <w:rPr>
          <w:b/>
          <w:bCs/>
          <w:i/>
          <w:iCs/>
        </w:rPr>
        <w:t xml:space="preserve"> + Investment</w:t>
      </w:r>
    </w:p>
    <w:p w14:paraId="59E227DA" w14:textId="1FFAE785" w:rsidR="00D2797C" w:rsidRPr="00D2797C" w:rsidRDefault="00D2797C" w:rsidP="00796125">
      <w:pPr>
        <w:tabs>
          <w:tab w:val="left" w:pos="720"/>
        </w:tabs>
        <w:rPr>
          <w:b/>
          <w:bCs/>
        </w:rPr>
      </w:pPr>
      <w:r>
        <w:rPr>
          <w:b/>
          <w:bCs/>
        </w:rPr>
        <w:t xml:space="preserve">Investment Factor Replaces </w:t>
      </w:r>
      <w:r w:rsidRPr="00D2797C">
        <w:rPr>
          <w:b/>
          <w:bCs/>
        </w:rPr>
        <w:t>Value</w:t>
      </w:r>
    </w:p>
    <w:p w14:paraId="53C2FD54" w14:textId="3EE710A8" w:rsidR="00D2797C" w:rsidRDefault="00D2797C" w:rsidP="00796125">
      <w:pPr>
        <w:tabs>
          <w:tab w:val="left" w:pos="720"/>
        </w:tabs>
      </w:pPr>
      <w:r>
        <w:t>T</w:t>
      </w:r>
      <w:r w:rsidRPr="007D4613">
        <w:t>he Investment factor measure</w:t>
      </w:r>
      <w:r>
        <w:t>d</w:t>
      </w:r>
      <w:r w:rsidRPr="007D4613">
        <w:t xml:space="preserve"> how much a firm invests relative to its total assets</w:t>
      </w:r>
      <w:r>
        <w:t>, finding more investment meant lower</w:t>
      </w:r>
      <w:r w:rsidRPr="007D4613">
        <w:t xml:space="preserve"> expected returns</w:t>
      </w:r>
      <w:r>
        <w:t xml:space="preserve">).  It is interesting to note the value factor is redundant in the presence of the investment </w:t>
      </w:r>
      <w:r w:rsidR="00585FD6">
        <w:t>factor.</w:t>
      </w:r>
    </w:p>
    <w:p w14:paraId="14138FC8" w14:textId="21AA29AC" w:rsidR="00D2797C" w:rsidRPr="00D2797C" w:rsidRDefault="00D2797C" w:rsidP="00796125">
      <w:pPr>
        <w:tabs>
          <w:tab w:val="left" w:pos="720"/>
        </w:tabs>
        <w:rPr>
          <w:b/>
          <w:bCs/>
        </w:rPr>
      </w:pPr>
      <w:r w:rsidRPr="00D2797C">
        <w:rPr>
          <w:b/>
          <w:bCs/>
        </w:rPr>
        <w:t>Profitability</w:t>
      </w:r>
    </w:p>
    <w:p w14:paraId="1E65B048" w14:textId="376AB7A2" w:rsidR="007D4613" w:rsidRDefault="00351BDD" w:rsidP="00796125">
      <w:pPr>
        <w:tabs>
          <w:tab w:val="left" w:pos="720"/>
        </w:tabs>
      </w:pPr>
      <w:r>
        <w:t>T</w:t>
      </w:r>
      <w:r w:rsidR="007D4613">
        <w:t>he Profitability Factor</w:t>
      </w:r>
      <w:r w:rsidR="007D4613" w:rsidRPr="007D4613">
        <w:t xml:space="preserve"> </w:t>
      </w:r>
      <w:r w:rsidR="0032325D">
        <w:t>measured the</w:t>
      </w:r>
      <w:r w:rsidR="007D4613">
        <w:t xml:space="preserve"> difference in return between firms with high </w:t>
      </w:r>
      <w:r w:rsidR="00BA1D36" w:rsidRPr="00BA1D36">
        <w:t xml:space="preserve">return-on-equity </w:t>
      </w:r>
      <w:r w:rsidR="007D4613">
        <w:t>and low</w:t>
      </w:r>
      <w:r w:rsidR="00BA1D36">
        <w:t xml:space="preserve"> </w:t>
      </w:r>
      <w:r w:rsidR="00BA1D36" w:rsidRPr="00BA1D36">
        <w:t>return-on-equity</w:t>
      </w:r>
      <w:r w:rsidR="0032325D">
        <w:t xml:space="preserve">, finding high </w:t>
      </w:r>
      <w:r w:rsidR="0032325D" w:rsidRPr="007D4613">
        <w:t xml:space="preserve">profitability </w:t>
      </w:r>
      <w:r w:rsidR="0032325D">
        <w:t xml:space="preserve">firms </w:t>
      </w:r>
      <w:r w:rsidR="0032325D" w:rsidRPr="007D4613">
        <w:t>tend to have higher returns</w:t>
      </w:r>
      <w:r w:rsidR="0032325D">
        <w:t xml:space="preserve">. </w:t>
      </w:r>
      <w:r w:rsidR="007D4613">
        <w:t xml:space="preserve">The </w:t>
      </w:r>
      <w:r w:rsidR="0032325D">
        <w:t>research</w:t>
      </w:r>
      <w:r w:rsidR="007D4613">
        <w:t xml:space="preserve"> suggest</w:t>
      </w:r>
      <w:r w:rsidR="0032325D">
        <w:t>s</w:t>
      </w:r>
      <w:r w:rsidR="007D4613">
        <w:t xml:space="preserve"> </w:t>
      </w:r>
      <w:r w:rsidR="007D4613" w:rsidRPr="007D4613">
        <w:t>high</w:t>
      </w:r>
      <w:r w:rsidR="0032325D">
        <w:t>ly</w:t>
      </w:r>
      <w:r w:rsidR="007D4613" w:rsidRPr="007D4613">
        <w:t xml:space="preserve"> profit</w:t>
      </w:r>
      <w:r w:rsidR="0032325D">
        <w:t xml:space="preserve">able firms are </w:t>
      </w:r>
      <w:r w:rsidR="007D4613" w:rsidRPr="007D4613">
        <w:t>able to generate more cash flows, have better access to financing, and are less risky.</w:t>
      </w:r>
    </w:p>
    <w:p w14:paraId="6DD61D28" w14:textId="5B6AC52C" w:rsidR="00402AF0" w:rsidRDefault="00402AF0" w:rsidP="00796125">
      <w:pPr>
        <w:tabs>
          <w:tab w:val="left" w:pos="720"/>
        </w:tabs>
        <w:jc w:val="center"/>
      </w:pPr>
      <w:r w:rsidRPr="00402AF0">
        <w:rPr>
          <w:noProof/>
        </w:rPr>
        <w:drawing>
          <wp:inline distT="0" distB="0" distL="0" distR="0" wp14:anchorId="31B2761F" wp14:editId="6FBEFB25">
            <wp:extent cx="4627418" cy="2398248"/>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1820" cy="2410895"/>
                    </a:xfrm>
                    <a:prstGeom prst="rect">
                      <a:avLst/>
                    </a:prstGeom>
                  </pic:spPr>
                </pic:pic>
              </a:graphicData>
            </a:graphic>
          </wp:inline>
        </w:drawing>
      </w:r>
    </w:p>
    <w:p w14:paraId="1B44A023" w14:textId="5CE43B56" w:rsidR="00BB4525" w:rsidRPr="00D47FB3" w:rsidRDefault="007D4613" w:rsidP="00796125">
      <w:pPr>
        <w:pStyle w:val="Heading3"/>
        <w:keepNext/>
        <w:widowControl/>
        <w:tabs>
          <w:tab w:val="left" w:pos="720"/>
        </w:tabs>
        <w:spacing w:before="160"/>
      </w:pPr>
      <w:r w:rsidRPr="00D47FB3">
        <w:t>Size doesn’t matter after all</w:t>
      </w:r>
      <w:r w:rsidR="00351BDD" w:rsidRPr="00D47FB3">
        <w:t>:</w:t>
      </w:r>
    </w:p>
    <w:p w14:paraId="686E0556" w14:textId="7F1D4808" w:rsidR="000A1410" w:rsidRDefault="00A63F48" w:rsidP="00796125">
      <w:pPr>
        <w:tabs>
          <w:tab w:val="left" w:pos="720"/>
        </w:tabs>
      </w:pPr>
      <w:r>
        <w:t xml:space="preserve">In 2015, after the discovery of </w:t>
      </w:r>
      <w:r w:rsidRPr="0054412C">
        <w:t>profitability and investment</w:t>
      </w:r>
      <w:r>
        <w:t xml:space="preserve">, </w:t>
      </w:r>
      <w:r w:rsidR="0054412C" w:rsidRPr="0054412C">
        <w:t>Fama and French extended the</w:t>
      </w:r>
      <w:r w:rsidR="007D4613">
        <w:t xml:space="preserve">ir </w:t>
      </w:r>
      <w:r>
        <w:t>original 3-factor model incorporate the latest research and released their 5-factor model.</w:t>
      </w:r>
    </w:p>
    <w:p w14:paraId="6B3F94A8" w14:textId="62200093" w:rsidR="00A63F48" w:rsidRDefault="00A63F48" w:rsidP="00796125">
      <w:pPr>
        <w:tabs>
          <w:tab w:val="left" w:pos="720"/>
        </w:tabs>
      </w:pPr>
      <w:r>
        <w:lastRenderedPageBreak/>
        <w:t>In doing so, they found the value factor becomes redundant and suggest dropping the value factor if the objective is to measure regression intercepts, but retaining all five factors if the portfolios possess size, value, profitability, and investment premiums.</w:t>
      </w:r>
    </w:p>
    <w:p w14:paraId="37961D8E" w14:textId="77777777" w:rsidR="00A63F48" w:rsidRDefault="00A63F48" w:rsidP="00796125">
      <w:pPr>
        <w:tabs>
          <w:tab w:val="left" w:pos="720"/>
        </w:tabs>
      </w:pPr>
      <w:r>
        <w:t xml:space="preserve">However, from </w:t>
      </w:r>
      <w:r w:rsidRPr="0054412C">
        <w:t>1963-2013</w:t>
      </w:r>
      <w:r>
        <w:t xml:space="preserve"> in the US market</w:t>
      </w:r>
      <w:r w:rsidRPr="0054412C">
        <w:t xml:space="preserve">, adding </w:t>
      </w:r>
      <w:r>
        <w:t>Profitability &amp; Investment</w:t>
      </w:r>
      <w:r w:rsidRPr="0054412C">
        <w:t xml:space="preserve"> </w:t>
      </w:r>
      <w:r>
        <w:t xml:space="preserve">also </w:t>
      </w:r>
      <w:r w:rsidRPr="0054412C">
        <w:t xml:space="preserve">makes the </w:t>
      </w:r>
      <w:r>
        <w:t xml:space="preserve">Size </w:t>
      </w:r>
      <w:r w:rsidRPr="0054412C">
        <w:t>factor redundant</w:t>
      </w:r>
      <w:r>
        <w:t>, s</w:t>
      </w:r>
      <w:r w:rsidRPr="0054412C">
        <w:t xml:space="preserve">ince </w:t>
      </w:r>
      <w:r>
        <w:t xml:space="preserve">the size </w:t>
      </w:r>
      <w:r w:rsidRPr="0054412C">
        <w:t>returns are completely explained by the other four factors (most notably Investment </w:t>
      </w:r>
      <w:r>
        <w:t xml:space="preserve">factor </w:t>
      </w:r>
      <w:r w:rsidRPr="0054412C">
        <w:t xml:space="preserve">which has a 0.7 correlation with </w:t>
      </w:r>
      <w:r>
        <w:t>Size</w:t>
      </w:r>
      <w:r w:rsidRPr="0054412C">
        <w:t>).</w:t>
      </w:r>
    </w:p>
    <w:p w14:paraId="7322347B" w14:textId="0C1DD823" w:rsidR="000A1410" w:rsidRPr="00A63F48" w:rsidRDefault="000A1410" w:rsidP="00796125">
      <w:pPr>
        <w:tabs>
          <w:tab w:val="left" w:pos="720"/>
        </w:tabs>
        <w:jc w:val="center"/>
        <w:rPr>
          <w:b/>
          <w:bCs/>
        </w:rPr>
      </w:pPr>
      <w:r w:rsidRPr="00A63F48">
        <w:rPr>
          <w:b/>
          <w:bCs/>
        </w:rPr>
        <w:t>Fama</w:t>
      </w:r>
      <w:r w:rsidR="00B44568">
        <w:rPr>
          <w:b/>
          <w:bCs/>
        </w:rPr>
        <w:t xml:space="preserve"> </w:t>
      </w:r>
      <w:r w:rsidRPr="00A63F48">
        <w:rPr>
          <w:b/>
          <w:bCs/>
        </w:rPr>
        <w:t xml:space="preserve">French 5-factor: </w:t>
      </w:r>
      <w:r w:rsidR="00A63F48" w:rsidRPr="00A63F48">
        <w:rPr>
          <w:b/>
          <w:bCs/>
          <w:i/>
          <w:iCs/>
        </w:rPr>
        <w:t xml:space="preserve">Volatility + [Small] Size + Value </w:t>
      </w:r>
      <w:r w:rsidR="00A07784" w:rsidRPr="00A63F48">
        <w:rPr>
          <w:b/>
          <w:bCs/>
          <w:i/>
          <w:iCs/>
        </w:rPr>
        <w:t xml:space="preserve">+ </w:t>
      </w:r>
      <w:r w:rsidRPr="00A63F48">
        <w:rPr>
          <w:b/>
          <w:bCs/>
          <w:i/>
          <w:iCs/>
        </w:rPr>
        <w:t>Profitability + Investment</w:t>
      </w:r>
    </w:p>
    <w:p w14:paraId="3F08AA6F" w14:textId="5B7AF94F" w:rsidR="00AA3BC7" w:rsidRPr="00D47FB3" w:rsidRDefault="00A63F48" w:rsidP="00796125">
      <w:pPr>
        <w:pStyle w:val="Heading3"/>
        <w:keepNext/>
        <w:widowControl/>
        <w:tabs>
          <w:tab w:val="left" w:pos="720"/>
        </w:tabs>
        <w:spacing w:before="160"/>
      </w:pPr>
      <w:r>
        <w:t>Re</w:t>
      </w:r>
      <w:r w:rsidR="00351BDD" w:rsidRPr="00D47FB3">
        <w:t>discover</w:t>
      </w:r>
      <w:r>
        <w:t>y</w:t>
      </w:r>
      <w:r w:rsidR="00351BDD" w:rsidRPr="00D47FB3">
        <w:t xml:space="preserve"> </w:t>
      </w:r>
      <w:r>
        <w:t xml:space="preserve">of </w:t>
      </w:r>
      <w:r w:rsidR="00351BDD" w:rsidRPr="00D47FB3">
        <w:t>Momentum:</w:t>
      </w:r>
    </w:p>
    <w:p w14:paraId="52BD1FF4" w14:textId="5B3129F1" w:rsidR="00411CF7" w:rsidRDefault="00EE3AEA" w:rsidP="00796125">
      <w:pPr>
        <w:tabs>
          <w:tab w:val="left" w:pos="720"/>
        </w:tabs>
      </w:pPr>
      <w:r>
        <w:t xml:space="preserve">In </w:t>
      </w:r>
      <w:r w:rsidRPr="0054412C">
        <w:t>201</w:t>
      </w:r>
      <w:r>
        <w:t xml:space="preserve">8, </w:t>
      </w:r>
      <w:r w:rsidR="00411CF7" w:rsidRPr="0054412C">
        <w:t>Fama and French</w:t>
      </w:r>
      <w:r w:rsidR="00411CF7">
        <w:t xml:space="preserve"> extended their </w:t>
      </w:r>
      <w:r w:rsidR="006A36F4">
        <w:t>5</w:t>
      </w:r>
      <w:r w:rsidR="00411CF7" w:rsidRPr="00411CF7">
        <w:t xml:space="preserve">-factor </w:t>
      </w:r>
      <w:r w:rsidR="00411CF7">
        <w:t xml:space="preserve">model </w:t>
      </w:r>
      <w:r w:rsidR="00351BDD">
        <w:t xml:space="preserve">by </w:t>
      </w:r>
      <w:r w:rsidR="00A07784">
        <w:t xml:space="preserve">reluctantly </w:t>
      </w:r>
      <w:r w:rsidR="00351BDD">
        <w:t xml:space="preserve">adding the </w:t>
      </w:r>
      <w:r w:rsidR="00411CF7" w:rsidRPr="00411CF7">
        <w:t>momentum factor</w:t>
      </w:r>
      <w:r w:rsidR="006A36F4">
        <w:t>,</w:t>
      </w:r>
      <w:r w:rsidR="00351BDD">
        <w:t xml:space="preserve"> discovered by Carhart </w:t>
      </w:r>
      <w:r w:rsidR="006A36F4">
        <w:t xml:space="preserve">over </w:t>
      </w:r>
      <w:r w:rsidR="00351BDD">
        <w:t>twenty years earlier</w:t>
      </w:r>
      <w:r w:rsidR="00411CF7">
        <w:t>.</w:t>
      </w:r>
    </w:p>
    <w:p w14:paraId="03B3E6A3" w14:textId="71D2767D" w:rsidR="00AA3BC7" w:rsidRPr="00A63F48" w:rsidRDefault="00AA3BC7" w:rsidP="00796125">
      <w:pPr>
        <w:tabs>
          <w:tab w:val="left" w:pos="720"/>
        </w:tabs>
        <w:jc w:val="center"/>
        <w:rPr>
          <w:b/>
          <w:bCs/>
          <w:i/>
          <w:iCs/>
        </w:rPr>
      </w:pPr>
      <w:r w:rsidRPr="00A63F48">
        <w:rPr>
          <w:b/>
          <w:bCs/>
        </w:rPr>
        <w:t>Fama</w:t>
      </w:r>
      <w:r w:rsidR="00B44568">
        <w:rPr>
          <w:b/>
          <w:bCs/>
        </w:rPr>
        <w:t xml:space="preserve"> </w:t>
      </w:r>
      <w:r w:rsidRPr="00A63F48">
        <w:rPr>
          <w:b/>
          <w:bCs/>
        </w:rPr>
        <w:t xml:space="preserve">French 6-factor: </w:t>
      </w:r>
      <w:r w:rsidR="00A63F48" w:rsidRPr="00A63F48">
        <w:rPr>
          <w:b/>
          <w:bCs/>
        </w:rPr>
        <w:t>Fama-French 5-factor</w:t>
      </w:r>
      <w:r w:rsidR="00A63F48" w:rsidRPr="00A63F48">
        <w:rPr>
          <w:b/>
          <w:bCs/>
          <w:i/>
          <w:iCs/>
        </w:rPr>
        <w:t xml:space="preserve"> </w:t>
      </w:r>
      <w:r w:rsidRPr="00A63F48">
        <w:rPr>
          <w:b/>
          <w:bCs/>
          <w:i/>
          <w:iCs/>
        </w:rPr>
        <w:t>+ Momentum</w:t>
      </w:r>
    </w:p>
    <w:p w14:paraId="161D6A4F" w14:textId="25B62DD9" w:rsidR="00AA3BC7" w:rsidRPr="00D47FB3" w:rsidRDefault="00C90DA6" w:rsidP="00796125">
      <w:pPr>
        <w:pStyle w:val="Heading3"/>
        <w:keepNext/>
        <w:widowControl/>
        <w:tabs>
          <w:tab w:val="left" w:pos="720"/>
        </w:tabs>
        <w:spacing w:before="160"/>
      </w:pPr>
      <w:r w:rsidRPr="00D47FB3">
        <w:t xml:space="preserve">Discovery of </w:t>
      </w:r>
      <w:r w:rsidR="00351BDD" w:rsidRPr="00D47FB3">
        <w:t>Expected Growth:</w:t>
      </w:r>
    </w:p>
    <w:p w14:paraId="041C9772" w14:textId="410CF84C" w:rsidR="00BA1D36" w:rsidRDefault="00EE3AEA" w:rsidP="00796125">
      <w:pPr>
        <w:tabs>
          <w:tab w:val="left" w:pos="720"/>
        </w:tabs>
      </w:pPr>
      <w:r>
        <w:t xml:space="preserve">In 2021, </w:t>
      </w:r>
      <w:r w:rsidR="00C90DA6">
        <w:t>Zhang,</w:t>
      </w:r>
      <w:r w:rsidR="00C90DA6" w:rsidRPr="0088563B">
        <w:t xml:space="preserve"> et a</w:t>
      </w:r>
      <w:r w:rsidR="00C90DA6">
        <w:t xml:space="preserve">l, published </w:t>
      </w:r>
      <w:r w:rsidR="007B53B0">
        <w:t xml:space="preserve">an updated q-factor model </w:t>
      </w:r>
      <w:r>
        <w:t xml:space="preserve">by </w:t>
      </w:r>
      <w:r w:rsidR="007B53B0">
        <w:t>adding a “</w:t>
      </w:r>
      <w:r w:rsidR="007B53B0" w:rsidRPr="007B53B0">
        <w:t>expected investment growth</w:t>
      </w:r>
      <w:r w:rsidR="007B53B0">
        <w:t>”</w:t>
      </w:r>
      <w:r w:rsidR="007B53B0" w:rsidRPr="007B53B0">
        <w:t xml:space="preserve"> </w:t>
      </w:r>
      <w:r w:rsidR="007B53B0">
        <w:t>variable</w:t>
      </w:r>
      <w:r w:rsidR="00796125">
        <w:t>.</w:t>
      </w:r>
      <w:r w:rsidR="00A07784" w:rsidRPr="00A07784">
        <w:t xml:space="preserve"> </w:t>
      </w:r>
      <w:r w:rsidR="00A07784">
        <w:t xml:space="preserve">As a result, </w:t>
      </w:r>
      <w:r w:rsidR="00A07784" w:rsidRPr="00575FEF">
        <w:t>the </w:t>
      </w:r>
      <w:r w:rsidR="00A07784">
        <w:t>q</w:t>
      </w:r>
      <w:r w:rsidR="00A07784" w:rsidRPr="00411CF7">
        <w:rPr>
          <w:vertAlign w:val="superscript"/>
        </w:rPr>
        <w:t>5</w:t>
      </w:r>
      <w:r w:rsidR="00A07784" w:rsidRPr="00575FEF">
        <w:t> model “substantially outperforms the Fama-French six-factor model.”</w:t>
      </w:r>
    </w:p>
    <w:p w14:paraId="0D579DB1" w14:textId="6FF9713B" w:rsidR="00411CF7" w:rsidRPr="00A63F48" w:rsidRDefault="00411CF7" w:rsidP="00796125">
      <w:pPr>
        <w:tabs>
          <w:tab w:val="left" w:pos="720"/>
        </w:tabs>
        <w:jc w:val="center"/>
        <w:rPr>
          <w:b/>
          <w:bCs/>
        </w:rPr>
      </w:pPr>
      <w:r w:rsidRPr="00A63F48">
        <w:rPr>
          <w:b/>
          <w:bCs/>
        </w:rPr>
        <w:t>q</w:t>
      </w:r>
      <w:r w:rsidRPr="00A63F48">
        <w:rPr>
          <w:b/>
          <w:bCs/>
          <w:vertAlign w:val="superscript"/>
        </w:rPr>
        <w:t>5</w:t>
      </w:r>
      <w:r w:rsidR="00A07784" w:rsidRPr="00A63F48">
        <w:rPr>
          <w:b/>
          <w:bCs/>
        </w:rPr>
        <w:t xml:space="preserve"> model</w:t>
      </w:r>
      <w:r w:rsidRPr="00A63F48">
        <w:rPr>
          <w:b/>
          <w:bCs/>
        </w:rPr>
        <w:t xml:space="preserve">: Volatility + Size + Quality + Investment + Expected </w:t>
      </w:r>
      <w:r w:rsidR="00C90DA6" w:rsidRPr="00A63F48">
        <w:rPr>
          <w:b/>
          <w:bCs/>
        </w:rPr>
        <w:t xml:space="preserve">Investment </w:t>
      </w:r>
      <w:r w:rsidRPr="00A63F48">
        <w:rPr>
          <w:b/>
          <w:bCs/>
        </w:rPr>
        <w:t>Growth</w:t>
      </w:r>
    </w:p>
    <w:p w14:paraId="6FFCBE24" w14:textId="2EB90C60" w:rsidR="00A07784" w:rsidRDefault="00E554CE" w:rsidP="00B44568">
      <w:pPr>
        <w:pStyle w:val="Heading1"/>
        <w:numPr>
          <w:ilvl w:val="0"/>
          <w:numId w:val="23"/>
        </w:numPr>
        <w:tabs>
          <w:tab w:val="left" w:pos="720"/>
        </w:tabs>
        <w:spacing w:before="240"/>
        <w:ind w:left="0" w:hanging="540"/>
      </w:pPr>
      <w:r>
        <w:t xml:space="preserve">Two Competing </w:t>
      </w:r>
      <w:r w:rsidR="00796125">
        <w:t xml:space="preserve">Factor </w:t>
      </w:r>
      <w:r>
        <w:t>Models</w:t>
      </w:r>
    </w:p>
    <w:p w14:paraId="50D53BBD" w14:textId="69A0DD49" w:rsidR="00EE3AEA" w:rsidRDefault="007F2E58" w:rsidP="00EE3AEA">
      <w:pPr>
        <w:tabs>
          <w:tab w:val="left" w:pos="720"/>
        </w:tabs>
      </w:pPr>
      <w:r w:rsidRPr="007F2E58">
        <w:t xml:space="preserve">In 2015, </w:t>
      </w:r>
      <w:r>
        <w:t>Z</w:t>
      </w:r>
      <w:r w:rsidRPr="007F2E58">
        <w:t>hang</w:t>
      </w:r>
      <w:r w:rsidR="00436283">
        <w:t xml:space="preserve"> and team</w:t>
      </w:r>
      <w:r w:rsidRPr="007F2E58">
        <w:t xml:space="preserve"> took on the Gods of Finance when </w:t>
      </w:r>
      <w:r w:rsidR="00436283">
        <w:t>they</w:t>
      </w:r>
      <w:r w:rsidRPr="007F2E58">
        <w:t xml:space="preserve"> published the q-factor model</w:t>
      </w:r>
      <w:r>
        <w:t>.</w:t>
      </w:r>
      <w:r w:rsidRPr="007F2E58">
        <w:t xml:space="preserve"> It was a direct challenge to Eugene Fama and Ken French, with Fama widely recognized as the "father of modern finance" for his work on Efficient Market Theory and </w:t>
      </w:r>
      <w:r w:rsidR="00436283">
        <w:t>two years earlier won</w:t>
      </w:r>
      <w:r w:rsidRPr="007F2E58">
        <w:t xml:space="preserve"> the 2013 Nobel Prize.</w:t>
      </w:r>
    </w:p>
    <w:p w14:paraId="2C1809EE" w14:textId="246C54C5" w:rsidR="007F2E58" w:rsidRDefault="007F2E58" w:rsidP="00EE3AEA">
      <w:pPr>
        <w:tabs>
          <w:tab w:val="left" w:pos="720"/>
        </w:tabs>
      </w:pPr>
      <w:r>
        <w:t xml:space="preserve">The intellectual challenge set off a dust storm in the world of </w:t>
      </w:r>
      <w:r w:rsidR="00EE3AEA" w:rsidRPr="00EE3AEA">
        <w:t>Factor research</w:t>
      </w:r>
      <w:r w:rsidR="00EE3AEA">
        <w:t>.</w:t>
      </w:r>
      <w:r>
        <w:t xml:space="preserve"> The </w:t>
      </w:r>
      <w:r w:rsidRPr="00EE3AEA">
        <w:t>(2015) q-factor model</w:t>
      </w:r>
      <w:r>
        <w:t xml:space="preserve"> was significantly better than (1993) t</w:t>
      </w:r>
      <w:r w:rsidRPr="002A1A80">
        <w:t>he Fama</w:t>
      </w:r>
      <w:r>
        <w:t xml:space="preserve"> </w:t>
      </w:r>
      <w:r w:rsidRPr="002A1A80">
        <w:t xml:space="preserve">French </w:t>
      </w:r>
      <w:r>
        <w:t>3</w:t>
      </w:r>
      <w:r w:rsidRPr="002A1A80">
        <w:t>-factor</w:t>
      </w:r>
      <w:r>
        <w:t xml:space="preserve"> and the (1997) 4-factor model. Fama and French quickly published a 5-factor rebuttal in 2015, by copying Zhang’s two new factors. Unfortunately, the new Fama French 5-factor model was still lagging vs. the </w:t>
      </w:r>
      <w:r w:rsidRPr="00EE3AEA">
        <w:t>q-factor model</w:t>
      </w:r>
      <w:r>
        <w:t xml:space="preserve">, which forced Fama French to reluctantly publish again with </w:t>
      </w:r>
      <w:r w:rsidRPr="00EE3AEA">
        <w:t>(2018) Fama-French 6-factor model</w:t>
      </w:r>
      <w:r>
        <w:t xml:space="preserve">. </w:t>
      </w:r>
    </w:p>
    <w:p w14:paraId="5A14EBAE" w14:textId="6FA261A0" w:rsidR="00436283" w:rsidRDefault="007F2E58" w:rsidP="00EE3AEA">
      <w:pPr>
        <w:tabs>
          <w:tab w:val="left" w:pos="720"/>
        </w:tabs>
      </w:pPr>
      <w:r>
        <w:t xml:space="preserve">In a </w:t>
      </w:r>
      <w:r w:rsidRPr="00EE3AEA">
        <w:t>head-to-head factor test</w:t>
      </w:r>
      <w:r>
        <w:t xml:space="preserve"> matchup, the </w:t>
      </w:r>
      <w:r w:rsidR="00EE3AEA" w:rsidRPr="00EE3AEA">
        <w:t xml:space="preserve">(2015) q-factor model </w:t>
      </w:r>
      <w:r w:rsidR="00EE3AEA">
        <w:t>compare</w:t>
      </w:r>
      <w:r>
        <w:t>d</w:t>
      </w:r>
      <w:r w:rsidR="00EE3AEA">
        <w:t xml:space="preserve"> well against the </w:t>
      </w:r>
      <w:r w:rsidRPr="00EE3AEA">
        <w:t>(2018) Fama-French 6-factor model</w:t>
      </w:r>
      <w:r>
        <w:t>.</w:t>
      </w:r>
      <w:r w:rsidR="00436283">
        <w:t xml:space="preserve"> </w:t>
      </w:r>
    </w:p>
    <w:p w14:paraId="203D680D" w14:textId="6ECD6E7F" w:rsidR="00436283" w:rsidRDefault="007F2E58" w:rsidP="00EE3AEA">
      <w:pPr>
        <w:tabs>
          <w:tab w:val="left" w:pos="720"/>
        </w:tabs>
      </w:pPr>
      <w:r>
        <w:t>To make matters worse</w:t>
      </w:r>
      <w:r w:rsidR="00436283" w:rsidRPr="00436283">
        <w:t xml:space="preserve"> </w:t>
      </w:r>
      <w:r w:rsidR="00436283">
        <w:t>for the Nobel laureate,</w:t>
      </w:r>
      <w:r>
        <w:t xml:space="preserve"> </w:t>
      </w:r>
      <w:r w:rsidR="00EE3AEA" w:rsidRPr="00EE3AEA">
        <w:t>Zhang</w:t>
      </w:r>
      <w:r>
        <w:t xml:space="preserve"> and team </w:t>
      </w:r>
      <w:r w:rsidR="00EE3AEA" w:rsidRPr="00EE3AEA">
        <w:t xml:space="preserve">published an updated q-factor model </w:t>
      </w:r>
      <w:r>
        <w:t>in 2021 with the discovery of a new factor,</w:t>
      </w:r>
      <w:r w:rsidR="00EE3AEA" w:rsidRPr="00EE3AEA">
        <w:t xml:space="preserve"> “expected investment growth”. </w:t>
      </w:r>
    </w:p>
    <w:p w14:paraId="40F9BD79" w14:textId="702A4246" w:rsidR="00EE3AEA" w:rsidRDefault="00EE3AEA" w:rsidP="00EE3AEA">
      <w:pPr>
        <w:tabs>
          <w:tab w:val="left" w:pos="720"/>
        </w:tabs>
      </w:pPr>
      <w:r w:rsidRPr="00EE3AEA">
        <w:t>As a result, the q</w:t>
      </w:r>
      <w:r w:rsidRPr="007F2E58">
        <w:rPr>
          <w:vertAlign w:val="superscript"/>
        </w:rPr>
        <w:t>5</w:t>
      </w:r>
      <w:r w:rsidRPr="00EE3AEA">
        <w:t xml:space="preserve"> model “substantially outperforms the Fama-French six-factor model.”</w:t>
      </w:r>
    </w:p>
    <w:p w14:paraId="0D72EA6C" w14:textId="2AF6B5D5" w:rsidR="005157FC" w:rsidRPr="00B44568" w:rsidRDefault="005157FC" w:rsidP="00B44568">
      <w:pPr>
        <w:pStyle w:val="Heading2"/>
      </w:pPr>
      <w:r w:rsidRPr="00B44568">
        <w:t>Fama</w:t>
      </w:r>
      <w:r w:rsidR="00B44568">
        <w:t xml:space="preserve"> </w:t>
      </w:r>
      <w:r w:rsidRPr="00B44568">
        <w:t>French</w:t>
      </w:r>
      <w:r w:rsidR="00436283">
        <w:t xml:space="preserve"> 6-Factor model</w:t>
      </w:r>
    </w:p>
    <w:p w14:paraId="7D2E03B3" w14:textId="7E9DB445" w:rsidR="004610F2" w:rsidRDefault="004610F2" w:rsidP="00796125">
      <w:pPr>
        <w:pStyle w:val="Heading3"/>
        <w:tabs>
          <w:tab w:val="left" w:pos="720"/>
        </w:tabs>
      </w:pPr>
      <w:r>
        <w:t>“</w:t>
      </w:r>
      <w:r w:rsidRPr="001C56C7">
        <w:t>A five-factor asset pricing model</w:t>
      </w:r>
      <w:r>
        <w:t>”: Fama French (2015)</w:t>
      </w:r>
    </w:p>
    <w:p w14:paraId="619DFAF0" w14:textId="77777777" w:rsidR="004610F2" w:rsidRDefault="004610F2" w:rsidP="00796125">
      <w:pPr>
        <w:pStyle w:val="BodyText"/>
        <w:tabs>
          <w:tab w:val="left" w:pos="720"/>
        </w:tabs>
        <w:spacing w:before="120"/>
      </w:pPr>
      <w:r w:rsidRPr="001C56C7">
        <w:t>Abstract</w:t>
      </w:r>
      <w:r>
        <w:t>:</w:t>
      </w:r>
    </w:p>
    <w:p w14:paraId="04B0B889" w14:textId="77777777" w:rsidR="004610F2" w:rsidRDefault="004610F2" w:rsidP="00796125">
      <w:pPr>
        <w:pStyle w:val="BodyText"/>
        <w:tabs>
          <w:tab w:val="left" w:pos="720"/>
        </w:tabs>
        <w:spacing w:before="120"/>
        <w:ind w:left="360"/>
      </w:pPr>
      <w:r>
        <w:t>“</w:t>
      </w:r>
      <w:r w:rsidRPr="001C56C7">
        <w:t>A five-factor model directed at capturing the size, value, profitability, and investment patterns in average </w:t>
      </w:r>
      <w:hyperlink r:id="rId9" w:tooltip="Learn more about stock returns from ScienceDirect's AI-generated Topic Pages" w:history="1">
        <w:r w:rsidRPr="001C56C7">
          <w:t>stock returns</w:t>
        </w:r>
      </w:hyperlink>
      <w:r w:rsidRPr="001C56C7">
        <w:t> performs better than the three-factor model of Fama and French (</w:t>
      </w:r>
      <w:bookmarkStart w:id="0" w:name="bbib7"/>
      <w:r w:rsidRPr="001C56C7">
        <w:t>FF, 1993</w:t>
      </w:r>
      <w:bookmarkEnd w:id="0"/>
      <w:r w:rsidRPr="001C56C7">
        <w:t>).</w:t>
      </w:r>
      <w:r>
        <w:t>”</w:t>
      </w:r>
      <w:r w:rsidRPr="001C56C7">
        <w:t xml:space="preserve"> </w:t>
      </w:r>
    </w:p>
    <w:p w14:paraId="0AA4101A" w14:textId="77777777" w:rsidR="004610F2" w:rsidRPr="00CC3D62" w:rsidRDefault="004610F2" w:rsidP="00796125">
      <w:pPr>
        <w:tabs>
          <w:tab w:val="left" w:pos="720"/>
        </w:tabs>
        <w:jc w:val="center"/>
        <w:rPr>
          <w:rFonts w:asciiTheme="minorHAnsi" w:hAnsiTheme="minorHAnsi" w:cstheme="minorHAnsi"/>
          <w:color w:val="2E2E2E"/>
        </w:rPr>
      </w:pPr>
      <w:r w:rsidRPr="000B1A6D">
        <w:rPr>
          <w:rFonts w:asciiTheme="minorHAnsi" w:hAnsiTheme="minorHAnsi" w:cstheme="minorHAnsi"/>
          <w:b/>
          <w:bCs/>
          <w:color w:val="2E2E2E"/>
        </w:rPr>
        <w:t>Fama-French 5-factor:</w:t>
      </w:r>
      <w:r w:rsidRPr="00CC3D62">
        <w:rPr>
          <w:rFonts w:asciiTheme="minorHAnsi" w:hAnsiTheme="minorHAnsi" w:cstheme="minorHAnsi"/>
          <w:color w:val="2E2E2E"/>
        </w:rPr>
        <w:t xml:space="preserve"> </w:t>
      </w:r>
      <w:r w:rsidRPr="00CC3D62">
        <w:rPr>
          <w:rFonts w:asciiTheme="minorHAnsi" w:hAnsiTheme="minorHAnsi" w:cstheme="minorHAnsi"/>
        </w:rPr>
        <w:t xml:space="preserve">Stock Return = Market + </w:t>
      </w:r>
      <w:r>
        <w:rPr>
          <w:rFonts w:asciiTheme="minorHAnsi" w:hAnsiTheme="minorHAnsi" w:cstheme="minorHAnsi"/>
        </w:rPr>
        <w:t xml:space="preserve">Small </w:t>
      </w:r>
      <w:r w:rsidRPr="00CC3D62">
        <w:rPr>
          <w:rFonts w:asciiTheme="minorHAnsi" w:hAnsiTheme="minorHAnsi" w:cstheme="minorHAnsi"/>
        </w:rPr>
        <w:t xml:space="preserve">Size + Value + Profitability + </w:t>
      </w:r>
      <w:r>
        <w:rPr>
          <w:rFonts w:asciiTheme="minorHAnsi" w:hAnsiTheme="minorHAnsi" w:cstheme="minorHAnsi"/>
        </w:rPr>
        <w:t xml:space="preserve">Conservative </w:t>
      </w:r>
      <w:r w:rsidRPr="00CC3D62">
        <w:rPr>
          <w:rFonts w:asciiTheme="minorHAnsi" w:hAnsiTheme="minorHAnsi" w:cstheme="minorHAnsi"/>
        </w:rPr>
        <w:t>Investment</w:t>
      </w:r>
    </w:p>
    <w:p w14:paraId="530A6EFD" w14:textId="77777777" w:rsidR="004610F2" w:rsidRPr="00CC3D62" w:rsidRDefault="004610F2" w:rsidP="00796125">
      <w:pPr>
        <w:tabs>
          <w:tab w:val="left" w:pos="720"/>
        </w:tabs>
        <w:rPr>
          <w:rFonts w:asciiTheme="minorHAnsi" w:hAnsiTheme="minorHAnsi" w:cstheme="minorHAnsi"/>
        </w:rPr>
      </w:pPr>
      <w:r w:rsidRPr="00CC3D62">
        <w:rPr>
          <w:rFonts w:asciiTheme="minorHAnsi" w:hAnsiTheme="minorHAnsi" w:cstheme="minorHAnsi"/>
        </w:rPr>
        <w:lastRenderedPageBreak/>
        <w:t>Where:</w:t>
      </w:r>
    </w:p>
    <w:p w14:paraId="5250CCEE" w14:textId="77777777" w:rsidR="004610F2" w:rsidRPr="00CC3D62" w:rsidRDefault="004610F2" w:rsidP="00796125">
      <w:pPr>
        <w:pStyle w:val="ListParagraph"/>
        <w:numPr>
          <w:ilvl w:val="0"/>
          <w:numId w:val="24"/>
        </w:numPr>
        <w:tabs>
          <w:tab w:val="left" w:pos="720"/>
        </w:tabs>
        <w:rPr>
          <w:rFonts w:cstheme="minorHAnsi"/>
          <w:color w:val="2E2E2E"/>
        </w:rPr>
      </w:pPr>
      <w:r w:rsidRPr="00CC3D62">
        <w:rPr>
          <w:rFonts w:cstheme="minorHAnsi"/>
          <w:i/>
          <w:iCs/>
        </w:rPr>
        <w:t>M</w:t>
      </w:r>
      <w:r>
        <w:rPr>
          <w:rFonts w:cstheme="minorHAnsi"/>
          <w:i/>
          <w:iCs/>
        </w:rPr>
        <w:t>arket</w:t>
      </w:r>
      <w:r w:rsidRPr="00CC3D62">
        <w:rPr>
          <w:rFonts w:cstheme="minorHAnsi"/>
          <w:color w:val="2E2E2E"/>
        </w:rPr>
        <w:t xml:space="preserve"> is </w:t>
      </w:r>
      <w:r>
        <w:rPr>
          <w:rFonts w:cstheme="minorHAnsi"/>
          <w:color w:val="2E2E2E"/>
        </w:rPr>
        <w:t>t</w:t>
      </w:r>
      <w:r w:rsidRPr="002D28B7">
        <w:rPr>
          <w:rFonts w:cstheme="minorHAnsi"/>
          <w:color w:val="2E2E2E"/>
        </w:rPr>
        <w:t>he market return in excess of the risk-free rate</w:t>
      </w:r>
    </w:p>
    <w:p w14:paraId="00D2AB52" w14:textId="77777777" w:rsidR="004610F2" w:rsidRPr="00CC3D62" w:rsidRDefault="004610F2" w:rsidP="00796125">
      <w:pPr>
        <w:pStyle w:val="ListParagraph"/>
        <w:numPr>
          <w:ilvl w:val="0"/>
          <w:numId w:val="24"/>
        </w:numPr>
        <w:tabs>
          <w:tab w:val="left" w:pos="720"/>
        </w:tabs>
        <w:rPr>
          <w:rFonts w:cstheme="minorHAnsi"/>
          <w:color w:val="2E2E2E"/>
        </w:rPr>
      </w:pPr>
      <w:r w:rsidRPr="00CC3D62">
        <w:rPr>
          <w:rFonts w:cstheme="minorHAnsi"/>
          <w:color w:val="2E2E2E"/>
        </w:rPr>
        <w:t xml:space="preserve">Size </w:t>
      </w:r>
      <w:r>
        <w:rPr>
          <w:rFonts w:cstheme="minorHAnsi"/>
          <w:color w:val="2E2E2E"/>
        </w:rPr>
        <w:t>is</w:t>
      </w:r>
      <w:r w:rsidRPr="00CC3D62">
        <w:rPr>
          <w:rStyle w:val="Emphasis"/>
          <w:rFonts w:cstheme="minorHAnsi"/>
          <w:color w:val="2E2E2E"/>
        </w:rPr>
        <w:t xml:space="preserve"> </w:t>
      </w:r>
      <w:proofErr w:type="spellStart"/>
      <w:r w:rsidRPr="00CC3D62">
        <w:rPr>
          <w:rStyle w:val="Emphasis"/>
          <w:rFonts w:cstheme="minorHAnsi"/>
          <w:color w:val="2E2E2E"/>
        </w:rPr>
        <w:t>SMB</w:t>
      </w:r>
      <w:r w:rsidRPr="00CC3D62">
        <w:rPr>
          <w:rStyle w:val="Emphasis"/>
          <w:rFonts w:cstheme="minorHAnsi"/>
          <w:color w:val="2E2E2E"/>
          <w:vertAlign w:val="subscript"/>
        </w:rPr>
        <w:t>t</w:t>
      </w:r>
      <w:proofErr w:type="spellEnd"/>
      <w:r w:rsidRPr="00CC3D62">
        <w:rPr>
          <w:rFonts w:cstheme="minorHAnsi"/>
          <w:color w:val="2E2E2E"/>
        </w:rPr>
        <w:t xml:space="preserve"> (small minus big) </w:t>
      </w:r>
    </w:p>
    <w:p w14:paraId="2D0308A3" w14:textId="77777777" w:rsidR="004610F2" w:rsidRPr="00CC3D62" w:rsidRDefault="004610F2" w:rsidP="00796125">
      <w:pPr>
        <w:pStyle w:val="ListParagraph"/>
        <w:numPr>
          <w:ilvl w:val="0"/>
          <w:numId w:val="24"/>
        </w:numPr>
        <w:tabs>
          <w:tab w:val="left" w:pos="720"/>
        </w:tabs>
        <w:rPr>
          <w:rFonts w:cstheme="minorHAnsi"/>
          <w:color w:val="2E2E2E"/>
        </w:rPr>
      </w:pPr>
      <w:r>
        <w:rPr>
          <w:rFonts w:cstheme="minorHAnsi"/>
          <w:color w:val="2E2E2E"/>
        </w:rPr>
        <w:t>V</w:t>
      </w:r>
      <w:r w:rsidRPr="00CC3D62">
        <w:rPr>
          <w:rFonts w:cstheme="minorHAnsi"/>
          <w:color w:val="2E2E2E"/>
        </w:rPr>
        <w:t xml:space="preserve">alue </w:t>
      </w:r>
      <w:r>
        <w:rPr>
          <w:rFonts w:cstheme="minorHAnsi"/>
          <w:color w:val="2E2E2E"/>
        </w:rPr>
        <w:t>is</w:t>
      </w:r>
      <w:r w:rsidRPr="00CC3D62">
        <w:rPr>
          <w:rFonts w:cstheme="minorHAnsi"/>
          <w:color w:val="2E2E2E"/>
        </w:rPr>
        <w:t xml:space="preserve"> </w:t>
      </w:r>
      <w:proofErr w:type="spellStart"/>
      <w:r w:rsidRPr="00CC3D62">
        <w:rPr>
          <w:rStyle w:val="Emphasis"/>
          <w:rFonts w:cstheme="minorHAnsi"/>
          <w:color w:val="2E2E2E"/>
        </w:rPr>
        <w:t>HML</w:t>
      </w:r>
      <w:r w:rsidRPr="00CC3D62">
        <w:rPr>
          <w:rStyle w:val="Emphasis"/>
          <w:rFonts w:cstheme="minorHAnsi"/>
          <w:color w:val="2E2E2E"/>
          <w:vertAlign w:val="subscript"/>
        </w:rPr>
        <w:t>t</w:t>
      </w:r>
      <w:proofErr w:type="spellEnd"/>
      <w:r w:rsidRPr="00CC3D62">
        <w:rPr>
          <w:rFonts w:cstheme="minorHAnsi"/>
          <w:color w:val="2E2E2E"/>
        </w:rPr>
        <w:t> (high minus low book-to-market equity)</w:t>
      </w:r>
    </w:p>
    <w:p w14:paraId="686F1042" w14:textId="77777777" w:rsidR="004610F2" w:rsidRPr="00CC3D62" w:rsidRDefault="004610F2" w:rsidP="00796125">
      <w:pPr>
        <w:pStyle w:val="ListParagraph"/>
        <w:numPr>
          <w:ilvl w:val="0"/>
          <w:numId w:val="24"/>
        </w:numPr>
        <w:tabs>
          <w:tab w:val="left" w:pos="720"/>
        </w:tabs>
        <w:rPr>
          <w:rFonts w:cstheme="minorHAnsi"/>
          <w:color w:val="2E2E2E"/>
        </w:rPr>
      </w:pPr>
      <w:r>
        <w:rPr>
          <w:rFonts w:cstheme="minorHAnsi"/>
          <w:color w:val="2E2E2E"/>
        </w:rPr>
        <w:t>P</w:t>
      </w:r>
      <w:r w:rsidRPr="00CC3D62">
        <w:rPr>
          <w:rFonts w:cstheme="minorHAnsi"/>
          <w:color w:val="2E2E2E"/>
        </w:rPr>
        <w:t xml:space="preserve">rofitability </w:t>
      </w:r>
      <w:r>
        <w:rPr>
          <w:rFonts w:cstheme="minorHAnsi"/>
          <w:color w:val="2E2E2E"/>
        </w:rPr>
        <w:t xml:space="preserve">is </w:t>
      </w:r>
      <w:proofErr w:type="spellStart"/>
      <w:r w:rsidRPr="00CC3D62">
        <w:rPr>
          <w:rStyle w:val="Emphasis"/>
          <w:rFonts w:cstheme="minorHAnsi"/>
          <w:color w:val="2E2E2E"/>
        </w:rPr>
        <w:t>RMW</w:t>
      </w:r>
      <w:r w:rsidRPr="00CC3D62">
        <w:rPr>
          <w:rStyle w:val="Emphasis"/>
          <w:rFonts w:cstheme="minorHAnsi"/>
          <w:color w:val="2E2E2E"/>
          <w:vertAlign w:val="subscript"/>
        </w:rPr>
        <w:t>Ot</w:t>
      </w:r>
      <w:proofErr w:type="spellEnd"/>
      <w:r w:rsidRPr="00CC3D62">
        <w:rPr>
          <w:rFonts w:cstheme="minorHAnsi"/>
          <w:color w:val="2E2E2E"/>
        </w:rPr>
        <w:t> (robust minus weak)</w:t>
      </w:r>
    </w:p>
    <w:p w14:paraId="07CF9E6A" w14:textId="77777777" w:rsidR="004610F2" w:rsidRPr="00A61D18" w:rsidRDefault="004610F2" w:rsidP="00796125">
      <w:pPr>
        <w:pStyle w:val="ListParagraph"/>
        <w:numPr>
          <w:ilvl w:val="0"/>
          <w:numId w:val="24"/>
        </w:numPr>
        <w:tabs>
          <w:tab w:val="left" w:pos="720"/>
        </w:tabs>
        <w:rPr>
          <w:rFonts w:cstheme="minorHAnsi"/>
          <w:color w:val="2E2E2E"/>
        </w:rPr>
      </w:pPr>
      <w:r>
        <w:rPr>
          <w:rFonts w:cstheme="minorHAnsi"/>
          <w:color w:val="2E2E2E"/>
        </w:rPr>
        <w:t>I</w:t>
      </w:r>
      <w:r w:rsidRPr="00CC3D62">
        <w:rPr>
          <w:rFonts w:cstheme="minorHAnsi"/>
          <w:color w:val="2E2E2E"/>
        </w:rPr>
        <w:t xml:space="preserve">nvestment </w:t>
      </w:r>
      <w:r>
        <w:rPr>
          <w:rFonts w:cstheme="minorHAnsi"/>
          <w:color w:val="2E2E2E"/>
        </w:rPr>
        <w:t xml:space="preserve">factor is </w:t>
      </w:r>
      <w:proofErr w:type="spellStart"/>
      <w:r w:rsidRPr="00CC3D62">
        <w:rPr>
          <w:rStyle w:val="Emphasis"/>
          <w:rFonts w:cstheme="minorHAnsi"/>
          <w:color w:val="2E2E2E"/>
        </w:rPr>
        <w:t>CMA</w:t>
      </w:r>
      <w:r w:rsidRPr="00CC3D62">
        <w:rPr>
          <w:rStyle w:val="Emphasis"/>
          <w:rFonts w:cstheme="minorHAnsi"/>
          <w:color w:val="2E2E2E"/>
          <w:vertAlign w:val="subscript"/>
        </w:rPr>
        <w:t>t</w:t>
      </w:r>
      <w:proofErr w:type="spellEnd"/>
      <w:r w:rsidRPr="00CC3D62">
        <w:rPr>
          <w:rFonts w:cstheme="minorHAnsi"/>
          <w:color w:val="2E2E2E"/>
        </w:rPr>
        <w:t xml:space="preserve"> (conservative minus aggressive) </w:t>
      </w:r>
    </w:p>
    <w:p w14:paraId="42FD0FFD" w14:textId="77777777" w:rsidR="004610F2" w:rsidRPr="00C23DA4" w:rsidRDefault="004610F2" w:rsidP="00796125">
      <w:pPr>
        <w:tabs>
          <w:tab w:val="left" w:pos="720"/>
        </w:tabs>
      </w:pPr>
      <w:r w:rsidRPr="00436283">
        <w:rPr>
          <w:b/>
          <w:bCs/>
        </w:rPr>
        <w:t>Interesting Findings:</w:t>
      </w:r>
      <w:r>
        <w:rPr>
          <w:b/>
          <w:bCs/>
        </w:rPr>
        <w:t xml:space="preserve"> </w:t>
      </w:r>
      <w:r w:rsidRPr="00C23DA4">
        <w:t>With the addition of profitability and investment factors, the value factor of the FF three-factor model becomes redundant for describing average returns in the sample we examine.”</w:t>
      </w:r>
    </w:p>
    <w:p w14:paraId="015B41B1" w14:textId="77777777" w:rsidR="004610F2" w:rsidRDefault="004610F2" w:rsidP="00796125">
      <w:pPr>
        <w:pStyle w:val="Heading3"/>
        <w:tabs>
          <w:tab w:val="left" w:pos="720"/>
        </w:tabs>
      </w:pPr>
      <w:r>
        <w:t>“Our Model Goes to Six and Saves Value from Redundancy Along the Way”: AQR (Dec 2014)</w:t>
      </w:r>
    </w:p>
    <w:p w14:paraId="24F3E28B" w14:textId="77777777" w:rsidR="004610F2" w:rsidRDefault="004610F2" w:rsidP="00796125">
      <w:pPr>
        <w:tabs>
          <w:tab w:val="left" w:pos="720"/>
        </w:tabs>
      </w:pPr>
      <w:r>
        <w:t xml:space="preserve">Cliff Asness (Eugene </w:t>
      </w:r>
      <w:r w:rsidRPr="00C23DA4">
        <w:t>Fama</w:t>
      </w:r>
      <w:r>
        <w:t xml:space="preserve"> protégée) starts with Fama and French’s Five-Factor model and seek to improve it. Their goal is to create a model that forecasts the best returning stocks, rather than a model that best forecasts all stock movements. </w:t>
      </w:r>
    </w:p>
    <w:p w14:paraId="3B46ADAA" w14:textId="77777777" w:rsidR="004610F2" w:rsidRDefault="004610F2" w:rsidP="00796125">
      <w:pPr>
        <w:tabs>
          <w:tab w:val="left" w:pos="720"/>
        </w:tabs>
      </w:pPr>
      <w:r w:rsidRPr="00436283">
        <w:rPr>
          <w:b/>
          <w:bCs/>
        </w:rPr>
        <w:t>Fixing Value:</w:t>
      </w:r>
      <w:r w:rsidRPr="001960BB">
        <w:t xml:space="preserve"> Fama-French rebalance in June with data, both fundamental and market, from the prior December. While</w:t>
      </w:r>
      <w:r>
        <w:t xml:space="preserve"> that is fine with fundamental data reported via a delayed earnings release, the stock price data is 6 months old. Asness crazy thought was to use current market prices. In doing so, the Value Factor regains significance and has </w:t>
      </w:r>
      <w:r w:rsidRPr="00A61D18">
        <w:t>negative correlation with the successful momentum factor</w:t>
      </w:r>
      <w:r>
        <w:t>.</w:t>
      </w:r>
    </w:p>
    <w:p w14:paraId="21811675" w14:textId="77777777" w:rsidR="004610F2" w:rsidRDefault="004610F2" w:rsidP="00796125">
      <w:pPr>
        <w:tabs>
          <w:tab w:val="left" w:pos="720"/>
        </w:tabs>
      </w:pPr>
      <w:r w:rsidRPr="00436283">
        <w:rPr>
          <w:b/>
          <w:bCs/>
        </w:rPr>
        <w:t>Improving Momentum &amp; Losing Investment:</w:t>
      </w:r>
      <w:r>
        <w:rPr>
          <w:b/>
          <w:bCs/>
        </w:rPr>
        <w:t xml:space="preserve"> </w:t>
      </w:r>
      <w:r>
        <w:t>“</w:t>
      </w:r>
      <w:r w:rsidRPr="00825D75">
        <w:t xml:space="preserve">However, for reasons we don’t find convincing, </w:t>
      </w:r>
      <w:r>
        <w:t>[Fama French 5]</w:t>
      </w:r>
      <w:r w:rsidRPr="00825D75">
        <w:t xml:space="preserve"> leaves out momentum.</w:t>
      </w:r>
      <w:r>
        <w:t>” If you fix the Value factor then the Momentum Factor result is even stronger, as a matter of fact the strongest of all factors we test, and the value factor, is easily resurrected. However, in doing so, the Investment factor is lost. “Thus we’re still back at a Five Factor Model, just a better one, in our opinion.”</w:t>
      </w:r>
    </w:p>
    <w:p w14:paraId="7047516E" w14:textId="6415029E" w:rsidR="004610F2" w:rsidRDefault="004610F2" w:rsidP="00796125">
      <w:pPr>
        <w:tabs>
          <w:tab w:val="left" w:pos="720"/>
        </w:tabs>
        <w:jc w:val="center"/>
      </w:pPr>
      <w:commentRangeStart w:id="1"/>
      <w:commentRangeStart w:id="2"/>
      <w:commentRangeStart w:id="3"/>
      <w:r w:rsidRPr="000B1A6D">
        <w:rPr>
          <w:b/>
          <w:bCs/>
        </w:rPr>
        <w:t>AQR Model:</w:t>
      </w:r>
      <w:r>
        <w:t xml:space="preserve"> Value + </w:t>
      </w:r>
      <w:r w:rsidRPr="00CC3D62">
        <w:rPr>
          <w:rFonts w:asciiTheme="minorHAnsi" w:hAnsiTheme="minorHAnsi" w:cstheme="minorHAnsi"/>
        </w:rPr>
        <w:t xml:space="preserve">Profitability </w:t>
      </w:r>
      <w:r>
        <w:t xml:space="preserve">+ Momentum </w:t>
      </w:r>
      <w:commentRangeEnd w:id="1"/>
      <w:r w:rsidR="00EA0CED">
        <w:rPr>
          <w:rStyle w:val="CommentReference"/>
          <w:rFonts w:cs="Mangal"/>
        </w:rPr>
        <w:commentReference w:id="1"/>
      </w:r>
      <w:commentRangeEnd w:id="2"/>
      <w:r w:rsidR="00EA0CED">
        <w:rPr>
          <w:rStyle w:val="CommentReference"/>
          <w:rFonts w:cs="Mangal"/>
        </w:rPr>
        <w:commentReference w:id="2"/>
      </w:r>
      <w:commentRangeEnd w:id="3"/>
      <w:r w:rsidR="00EA0CED">
        <w:rPr>
          <w:rStyle w:val="CommentReference"/>
          <w:rFonts w:cs="Mangal"/>
        </w:rPr>
        <w:commentReference w:id="3"/>
      </w:r>
      <w:r w:rsidR="00EA0CED">
        <w:t xml:space="preserve"> + Investment? + Defensive/Low-Risk/Low-Beta?</w:t>
      </w:r>
      <w:r w:rsidR="00EA0CED" w:rsidRPr="00CC3D62">
        <w:rPr>
          <w:rFonts w:asciiTheme="minorHAnsi" w:hAnsiTheme="minorHAnsi" w:cstheme="minorHAnsi"/>
        </w:rPr>
        <w:t xml:space="preserve"> +</w:t>
      </w:r>
      <w:r w:rsidR="00EA0CED">
        <w:rPr>
          <w:rFonts w:asciiTheme="minorHAnsi" w:hAnsiTheme="minorHAnsi" w:cstheme="minorHAnsi"/>
        </w:rPr>
        <w:t xml:space="preserve"> Carry?</w:t>
      </w:r>
    </w:p>
    <w:p w14:paraId="7B0BDB60" w14:textId="77777777" w:rsidR="004610F2" w:rsidRPr="00C23DA4" w:rsidRDefault="004610F2" w:rsidP="00796125">
      <w:pPr>
        <w:tabs>
          <w:tab w:val="left" w:pos="720"/>
        </w:tabs>
      </w:pPr>
      <w:r w:rsidRPr="00436283">
        <w:rPr>
          <w:b/>
          <w:bCs/>
        </w:rPr>
        <w:t>Interesting Findings:</w:t>
      </w:r>
      <w:r>
        <w:rPr>
          <w:b/>
          <w:bCs/>
        </w:rPr>
        <w:t xml:space="preserve"> </w:t>
      </w:r>
      <w:r>
        <w:t>By using the Value factor with current market price, improves Value and Momentum results.</w:t>
      </w:r>
    </w:p>
    <w:p w14:paraId="10EBD9CE" w14:textId="77777777" w:rsidR="004610F2" w:rsidRPr="00CC1DA3" w:rsidRDefault="004610F2" w:rsidP="00796125">
      <w:pPr>
        <w:pStyle w:val="Heading3"/>
        <w:tabs>
          <w:tab w:val="left" w:pos="720"/>
        </w:tabs>
      </w:pPr>
      <w:r>
        <w:t>“Choosing Factors”: Fama French (2018)</w:t>
      </w:r>
    </w:p>
    <w:p w14:paraId="430F64EA" w14:textId="77777777" w:rsidR="004610F2" w:rsidRDefault="004610F2" w:rsidP="00796125">
      <w:pPr>
        <w:tabs>
          <w:tab w:val="left" w:pos="720"/>
        </w:tabs>
      </w:pPr>
      <w:r>
        <w:t xml:space="preserve">Fama-French </w:t>
      </w:r>
      <w:r w:rsidRPr="00CC1DA3">
        <w:t>add momentum to the five-factor model because of popular demand but do so reluctantly</w:t>
      </w:r>
      <w:r>
        <w:t>,</w:t>
      </w:r>
      <w:r w:rsidRPr="00CC1DA3">
        <w:t xml:space="preserve"> </w:t>
      </w:r>
      <w:r>
        <w:t xml:space="preserve">as </w:t>
      </w:r>
      <w:r w:rsidRPr="00CC1DA3">
        <w:t xml:space="preserve">they fail to see the theoretical justification. They show </w:t>
      </w:r>
      <w:r>
        <w:t>that the results “</w:t>
      </w:r>
      <w:r w:rsidRPr="00CC3D62">
        <w:t>are not surprising (the six-factor model wins)</w:t>
      </w:r>
      <w:r>
        <w:t xml:space="preserve">”. </w:t>
      </w:r>
    </w:p>
    <w:p w14:paraId="409F3DE0" w14:textId="5ED0EF84" w:rsidR="004610F2" w:rsidRPr="00CC3D62" w:rsidRDefault="004610F2" w:rsidP="00796125">
      <w:pPr>
        <w:tabs>
          <w:tab w:val="left" w:pos="720"/>
        </w:tabs>
        <w:jc w:val="center"/>
        <w:rPr>
          <w:rFonts w:asciiTheme="minorHAnsi" w:hAnsiTheme="minorHAnsi" w:cstheme="minorHAnsi"/>
        </w:rPr>
      </w:pPr>
      <w:r w:rsidRPr="000B1A6D">
        <w:rPr>
          <w:rFonts w:asciiTheme="minorHAnsi" w:hAnsiTheme="minorHAnsi" w:cstheme="minorHAnsi"/>
          <w:b/>
          <w:bCs/>
        </w:rPr>
        <w:t>Fama-French 6-factor</w:t>
      </w:r>
      <w:r w:rsidRPr="001960BB">
        <w:rPr>
          <w:rFonts w:asciiTheme="minorHAnsi" w:hAnsiTheme="minorHAnsi" w:cstheme="minorHAnsi"/>
          <w:b/>
          <w:bCs/>
        </w:rPr>
        <w:t>:</w:t>
      </w:r>
      <w:r w:rsidRPr="00CC3D62">
        <w:rPr>
          <w:rFonts w:asciiTheme="minorHAnsi" w:hAnsiTheme="minorHAnsi" w:cstheme="minorHAnsi"/>
        </w:rPr>
        <w:t xml:space="preserve"> Market + </w:t>
      </w:r>
      <w:r>
        <w:rPr>
          <w:rFonts w:asciiTheme="minorHAnsi" w:hAnsiTheme="minorHAnsi" w:cstheme="minorHAnsi"/>
        </w:rPr>
        <w:t xml:space="preserve">Small </w:t>
      </w:r>
      <w:r w:rsidRPr="00CC3D62">
        <w:rPr>
          <w:rFonts w:asciiTheme="minorHAnsi" w:hAnsiTheme="minorHAnsi" w:cstheme="minorHAnsi"/>
        </w:rPr>
        <w:t>Size + Value + Profitability +</w:t>
      </w:r>
      <w:r w:rsidRPr="00F84B72">
        <w:rPr>
          <w:rFonts w:asciiTheme="minorHAnsi" w:hAnsiTheme="minorHAnsi" w:cstheme="minorHAnsi"/>
        </w:rPr>
        <w:t xml:space="preserve"> </w:t>
      </w:r>
      <w:r>
        <w:rPr>
          <w:rFonts w:asciiTheme="minorHAnsi" w:hAnsiTheme="minorHAnsi" w:cstheme="minorHAnsi"/>
        </w:rPr>
        <w:t>Conservative</w:t>
      </w:r>
      <w:r w:rsidRPr="00CC3D62">
        <w:rPr>
          <w:rFonts w:asciiTheme="minorHAnsi" w:hAnsiTheme="minorHAnsi" w:cstheme="minorHAnsi"/>
        </w:rPr>
        <w:t xml:space="preserve"> Investment + Momentum</w:t>
      </w:r>
    </w:p>
    <w:p w14:paraId="38157E30" w14:textId="77777777" w:rsidR="004610F2" w:rsidRPr="00CC3D62" w:rsidRDefault="004610F2" w:rsidP="00796125">
      <w:pPr>
        <w:tabs>
          <w:tab w:val="left" w:pos="720"/>
        </w:tabs>
        <w:rPr>
          <w:rFonts w:asciiTheme="minorHAnsi" w:hAnsiTheme="minorHAnsi" w:cstheme="minorHAnsi"/>
        </w:rPr>
      </w:pPr>
      <w:r w:rsidRPr="00CC3D62">
        <w:rPr>
          <w:rFonts w:asciiTheme="minorHAnsi" w:hAnsiTheme="minorHAnsi" w:cstheme="minorHAnsi"/>
        </w:rPr>
        <w:t>Where:</w:t>
      </w:r>
    </w:p>
    <w:p w14:paraId="2B96B9AD" w14:textId="77777777" w:rsidR="004610F2" w:rsidRPr="00CC3D62" w:rsidRDefault="004610F2" w:rsidP="00796125">
      <w:pPr>
        <w:pStyle w:val="ListParagraph"/>
        <w:numPr>
          <w:ilvl w:val="0"/>
          <w:numId w:val="24"/>
        </w:numPr>
        <w:tabs>
          <w:tab w:val="left" w:pos="720"/>
        </w:tabs>
        <w:rPr>
          <w:rFonts w:cstheme="minorHAnsi"/>
          <w:color w:val="2E2E2E"/>
        </w:rPr>
      </w:pPr>
      <w:r w:rsidRPr="00CC3D62">
        <w:rPr>
          <w:rFonts w:cstheme="minorHAnsi"/>
          <w:i/>
          <w:iCs/>
        </w:rPr>
        <w:t>M</w:t>
      </w:r>
      <w:r>
        <w:rPr>
          <w:rFonts w:cstheme="minorHAnsi"/>
          <w:i/>
          <w:iCs/>
        </w:rPr>
        <w:t>arket</w:t>
      </w:r>
      <w:r w:rsidRPr="00CC3D62">
        <w:rPr>
          <w:rFonts w:cstheme="minorHAnsi"/>
          <w:color w:val="2E2E2E"/>
        </w:rPr>
        <w:t xml:space="preserve"> is </w:t>
      </w:r>
      <w:r>
        <w:rPr>
          <w:rFonts w:cstheme="minorHAnsi"/>
          <w:color w:val="2E2E2E"/>
        </w:rPr>
        <w:t>t</w:t>
      </w:r>
      <w:r w:rsidRPr="002D28B7">
        <w:rPr>
          <w:rFonts w:cstheme="minorHAnsi"/>
          <w:color w:val="2E2E2E"/>
        </w:rPr>
        <w:t>he market return in excess of the risk-free rate</w:t>
      </w:r>
    </w:p>
    <w:p w14:paraId="505DEB34" w14:textId="77777777" w:rsidR="004610F2" w:rsidRPr="00CC3D62" w:rsidRDefault="004610F2" w:rsidP="00796125">
      <w:pPr>
        <w:pStyle w:val="ListParagraph"/>
        <w:numPr>
          <w:ilvl w:val="0"/>
          <w:numId w:val="24"/>
        </w:numPr>
        <w:tabs>
          <w:tab w:val="left" w:pos="720"/>
        </w:tabs>
        <w:rPr>
          <w:rFonts w:cstheme="minorHAnsi"/>
          <w:color w:val="2E2E2E"/>
        </w:rPr>
      </w:pPr>
      <w:r w:rsidRPr="00CC3D62">
        <w:rPr>
          <w:rFonts w:cstheme="minorHAnsi"/>
          <w:color w:val="2E2E2E"/>
        </w:rPr>
        <w:t xml:space="preserve">Size </w:t>
      </w:r>
      <w:r>
        <w:rPr>
          <w:rFonts w:cstheme="minorHAnsi"/>
          <w:color w:val="2E2E2E"/>
        </w:rPr>
        <w:t>is</w:t>
      </w:r>
      <w:r w:rsidRPr="00CC3D62">
        <w:rPr>
          <w:rStyle w:val="Emphasis"/>
          <w:rFonts w:cstheme="minorHAnsi"/>
          <w:color w:val="2E2E2E"/>
        </w:rPr>
        <w:t xml:space="preserve"> </w:t>
      </w:r>
      <w:proofErr w:type="spellStart"/>
      <w:r w:rsidRPr="00CC3D62">
        <w:rPr>
          <w:rStyle w:val="Emphasis"/>
          <w:rFonts w:cstheme="minorHAnsi"/>
          <w:color w:val="2E2E2E"/>
        </w:rPr>
        <w:t>SMB</w:t>
      </w:r>
      <w:r w:rsidRPr="00CC3D62">
        <w:rPr>
          <w:rStyle w:val="Emphasis"/>
          <w:rFonts w:cstheme="minorHAnsi"/>
          <w:color w:val="2E2E2E"/>
          <w:vertAlign w:val="subscript"/>
        </w:rPr>
        <w:t>t</w:t>
      </w:r>
      <w:proofErr w:type="spellEnd"/>
      <w:r w:rsidRPr="00CC3D62">
        <w:rPr>
          <w:rFonts w:cstheme="minorHAnsi"/>
          <w:color w:val="2E2E2E"/>
        </w:rPr>
        <w:t xml:space="preserve"> (small minus big) </w:t>
      </w:r>
    </w:p>
    <w:p w14:paraId="3E14FD10" w14:textId="77777777" w:rsidR="004610F2" w:rsidRPr="00CC3D62" w:rsidRDefault="004610F2" w:rsidP="00796125">
      <w:pPr>
        <w:pStyle w:val="ListParagraph"/>
        <w:numPr>
          <w:ilvl w:val="0"/>
          <w:numId w:val="24"/>
        </w:numPr>
        <w:tabs>
          <w:tab w:val="left" w:pos="720"/>
        </w:tabs>
        <w:rPr>
          <w:rFonts w:cstheme="minorHAnsi"/>
          <w:color w:val="2E2E2E"/>
        </w:rPr>
      </w:pPr>
      <w:r>
        <w:rPr>
          <w:rFonts w:cstheme="minorHAnsi"/>
          <w:color w:val="2E2E2E"/>
        </w:rPr>
        <w:t>V</w:t>
      </w:r>
      <w:r w:rsidRPr="00CC3D62">
        <w:rPr>
          <w:rFonts w:cstheme="minorHAnsi"/>
          <w:color w:val="2E2E2E"/>
        </w:rPr>
        <w:t xml:space="preserve">alue </w:t>
      </w:r>
      <w:r>
        <w:rPr>
          <w:rFonts w:cstheme="minorHAnsi"/>
          <w:color w:val="2E2E2E"/>
        </w:rPr>
        <w:t>is</w:t>
      </w:r>
      <w:r w:rsidRPr="00CC3D62">
        <w:rPr>
          <w:rFonts w:cstheme="minorHAnsi"/>
          <w:color w:val="2E2E2E"/>
        </w:rPr>
        <w:t xml:space="preserve"> </w:t>
      </w:r>
      <w:proofErr w:type="spellStart"/>
      <w:r w:rsidRPr="00CC3D62">
        <w:rPr>
          <w:rStyle w:val="Emphasis"/>
          <w:rFonts w:cstheme="minorHAnsi"/>
          <w:color w:val="2E2E2E"/>
        </w:rPr>
        <w:t>HML</w:t>
      </w:r>
      <w:r w:rsidRPr="00CC3D62">
        <w:rPr>
          <w:rStyle w:val="Emphasis"/>
          <w:rFonts w:cstheme="minorHAnsi"/>
          <w:color w:val="2E2E2E"/>
          <w:vertAlign w:val="subscript"/>
        </w:rPr>
        <w:t>t</w:t>
      </w:r>
      <w:proofErr w:type="spellEnd"/>
      <w:r w:rsidRPr="00CC3D62">
        <w:rPr>
          <w:rFonts w:cstheme="minorHAnsi"/>
          <w:color w:val="2E2E2E"/>
        </w:rPr>
        <w:t> (high minus low book-to-market equity)</w:t>
      </w:r>
    </w:p>
    <w:p w14:paraId="463D1A1E" w14:textId="77777777" w:rsidR="004610F2" w:rsidRPr="00CC3D62" w:rsidRDefault="004610F2" w:rsidP="00796125">
      <w:pPr>
        <w:pStyle w:val="ListParagraph"/>
        <w:numPr>
          <w:ilvl w:val="0"/>
          <w:numId w:val="24"/>
        </w:numPr>
        <w:tabs>
          <w:tab w:val="left" w:pos="720"/>
        </w:tabs>
        <w:rPr>
          <w:rFonts w:cstheme="minorHAnsi"/>
          <w:color w:val="2E2E2E"/>
        </w:rPr>
      </w:pPr>
      <w:r>
        <w:rPr>
          <w:rFonts w:cstheme="minorHAnsi"/>
          <w:color w:val="2E2E2E"/>
        </w:rPr>
        <w:t>P</w:t>
      </w:r>
      <w:r w:rsidRPr="00CC3D62">
        <w:rPr>
          <w:rFonts w:cstheme="minorHAnsi"/>
          <w:color w:val="2E2E2E"/>
        </w:rPr>
        <w:t xml:space="preserve">rofitability </w:t>
      </w:r>
      <w:r>
        <w:rPr>
          <w:rFonts w:cstheme="minorHAnsi"/>
          <w:color w:val="2E2E2E"/>
        </w:rPr>
        <w:t xml:space="preserve">is </w:t>
      </w:r>
      <w:proofErr w:type="spellStart"/>
      <w:r w:rsidRPr="00CC3D62">
        <w:rPr>
          <w:rStyle w:val="Emphasis"/>
          <w:rFonts w:cstheme="minorHAnsi"/>
          <w:color w:val="2E2E2E"/>
        </w:rPr>
        <w:t>RMW</w:t>
      </w:r>
      <w:r w:rsidRPr="00CC3D62">
        <w:rPr>
          <w:rStyle w:val="Emphasis"/>
          <w:rFonts w:cstheme="minorHAnsi"/>
          <w:color w:val="2E2E2E"/>
          <w:vertAlign w:val="subscript"/>
        </w:rPr>
        <w:t>Ot</w:t>
      </w:r>
      <w:proofErr w:type="spellEnd"/>
      <w:r w:rsidRPr="00CC3D62">
        <w:rPr>
          <w:rFonts w:cstheme="minorHAnsi"/>
          <w:color w:val="2E2E2E"/>
        </w:rPr>
        <w:t> (robust minus weak)</w:t>
      </w:r>
    </w:p>
    <w:p w14:paraId="311FB96E" w14:textId="77777777" w:rsidR="004610F2" w:rsidRPr="00CC3D62" w:rsidRDefault="004610F2" w:rsidP="00796125">
      <w:pPr>
        <w:pStyle w:val="ListParagraph"/>
        <w:numPr>
          <w:ilvl w:val="0"/>
          <w:numId w:val="24"/>
        </w:numPr>
        <w:tabs>
          <w:tab w:val="left" w:pos="720"/>
        </w:tabs>
        <w:rPr>
          <w:rFonts w:cstheme="minorHAnsi"/>
          <w:color w:val="2E2E2E"/>
        </w:rPr>
      </w:pPr>
      <w:r>
        <w:rPr>
          <w:rFonts w:cstheme="minorHAnsi"/>
          <w:color w:val="2E2E2E"/>
        </w:rPr>
        <w:t>I</w:t>
      </w:r>
      <w:r w:rsidRPr="00CC3D62">
        <w:rPr>
          <w:rFonts w:cstheme="minorHAnsi"/>
          <w:color w:val="2E2E2E"/>
        </w:rPr>
        <w:t xml:space="preserve">nvestment </w:t>
      </w:r>
      <w:r>
        <w:rPr>
          <w:rFonts w:cstheme="minorHAnsi"/>
          <w:color w:val="2E2E2E"/>
        </w:rPr>
        <w:t xml:space="preserve">factor is </w:t>
      </w:r>
      <w:proofErr w:type="spellStart"/>
      <w:r w:rsidRPr="00CC3D62">
        <w:rPr>
          <w:rStyle w:val="Emphasis"/>
          <w:rFonts w:cstheme="minorHAnsi"/>
          <w:color w:val="2E2E2E"/>
        </w:rPr>
        <w:t>CMA</w:t>
      </w:r>
      <w:r w:rsidRPr="00CC3D62">
        <w:rPr>
          <w:rStyle w:val="Emphasis"/>
          <w:rFonts w:cstheme="minorHAnsi"/>
          <w:color w:val="2E2E2E"/>
          <w:vertAlign w:val="subscript"/>
        </w:rPr>
        <w:t>t</w:t>
      </w:r>
      <w:proofErr w:type="spellEnd"/>
      <w:r w:rsidRPr="00CC3D62">
        <w:rPr>
          <w:rFonts w:cstheme="minorHAnsi"/>
          <w:color w:val="2E2E2E"/>
        </w:rPr>
        <w:t xml:space="preserve"> (conservative minus aggressive) </w:t>
      </w:r>
    </w:p>
    <w:p w14:paraId="29198435" w14:textId="77777777" w:rsidR="004610F2" w:rsidRPr="00CC3D62" w:rsidRDefault="004610F2" w:rsidP="00796125">
      <w:pPr>
        <w:pStyle w:val="ListParagraph"/>
        <w:numPr>
          <w:ilvl w:val="0"/>
          <w:numId w:val="24"/>
        </w:numPr>
        <w:tabs>
          <w:tab w:val="left" w:pos="720"/>
        </w:tabs>
        <w:rPr>
          <w:rFonts w:cstheme="minorHAnsi"/>
          <w:color w:val="2E2E2E"/>
        </w:rPr>
      </w:pPr>
      <w:r>
        <w:rPr>
          <w:rFonts w:cstheme="minorHAnsi"/>
          <w:color w:val="2E2E2E"/>
        </w:rPr>
        <w:t>M</w:t>
      </w:r>
      <w:r w:rsidRPr="00CC3D62">
        <w:rPr>
          <w:rFonts w:cstheme="minorHAnsi"/>
          <w:color w:val="2E2E2E"/>
        </w:rPr>
        <w:t>omentum factor</w:t>
      </w:r>
      <w:r w:rsidRPr="00CC3D62">
        <w:rPr>
          <w:rStyle w:val="Emphasis"/>
          <w:rFonts w:cstheme="minorHAnsi"/>
          <w:color w:val="2E2E2E"/>
        </w:rPr>
        <w:t xml:space="preserve"> </w:t>
      </w:r>
      <w:r>
        <w:rPr>
          <w:rStyle w:val="Emphasis"/>
          <w:rFonts w:cstheme="minorHAnsi"/>
          <w:color w:val="2E2E2E"/>
        </w:rPr>
        <w:t xml:space="preserve">is </w:t>
      </w:r>
      <w:proofErr w:type="spellStart"/>
      <w:r w:rsidRPr="00CC3D62">
        <w:rPr>
          <w:rStyle w:val="Emphasis"/>
          <w:rFonts w:cstheme="minorHAnsi"/>
          <w:color w:val="2E2E2E"/>
        </w:rPr>
        <w:t>UMD</w:t>
      </w:r>
      <w:r w:rsidRPr="00CC3D62">
        <w:rPr>
          <w:rStyle w:val="Emphasis"/>
          <w:rFonts w:cstheme="minorHAnsi"/>
          <w:color w:val="2E2E2E"/>
          <w:vertAlign w:val="subscript"/>
        </w:rPr>
        <w:t>t</w:t>
      </w:r>
      <w:proofErr w:type="spellEnd"/>
      <w:r w:rsidRPr="00CC3D62">
        <w:rPr>
          <w:rFonts w:cstheme="minorHAnsi"/>
          <w:color w:val="2E2E2E"/>
        </w:rPr>
        <w:t> (up minus down)</w:t>
      </w:r>
    </w:p>
    <w:p w14:paraId="52F1B786" w14:textId="77777777" w:rsidR="004610F2" w:rsidRDefault="004610F2" w:rsidP="00796125">
      <w:pPr>
        <w:tabs>
          <w:tab w:val="left" w:pos="720"/>
        </w:tabs>
      </w:pPr>
      <w:r w:rsidRPr="00436283">
        <w:rPr>
          <w:b/>
          <w:bCs/>
        </w:rPr>
        <w:t>Interesting Findings:</w:t>
      </w:r>
      <w:r>
        <w:rPr>
          <w:b/>
          <w:bCs/>
        </w:rPr>
        <w:t xml:space="preserve"> </w:t>
      </w:r>
      <w:r>
        <w:t xml:space="preserve">Use a </w:t>
      </w:r>
      <w:r w:rsidRPr="00CC1DA3">
        <w:t>Profitability factor</w:t>
      </w:r>
      <w:r>
        <w:t xml:space="preserve"> that is based on </w:t>
      </w:r>
      <w:r w:rsidRPr="00CC1DA3">
        <w:t xml:space="preserve">cash profitability </w:t>
      </w:r>
      <w:r>
        <w:t xml:space="preserve">rather than </w:t>
      </w:r>
      <w:r w:rsidRPr="00CC1DA3">
        <w:t>operating profitability</w:t>
      </w:r>
      <w:r>
        <w:t>.</w:t>
      </w:r>
    </w:p>
    <w:p w14:paraId="1E1A7A74" w14:textId="29E967DD" w:rsidR="004610F2" w:rsidRDefault="004610F2" w:rsidP="00796125">
      <w:pPr>
        <w:pStyle w:val="Heading2"/>
        <w:tabs>
          <w:tab w:val="left" w:pos="720"/>
        </w:tabs>
      </w:pPr>
      <w:r>
        <w:lastRenderedPageBreak/>
        <w:t xml:space="preserve">Zhang </w:t>
      </w:r>
      <w:r w:rsidR="00436283">
        <w:t>q</w:t>
      </w:r>
      <w:r w:rsidR="00436283" w:rsidRPr="00436283">
        <w:rPr>
          <w:vertAlign w:val="superscript"/>
        </w:rPr>
        <w:t>5</w:t>
      </w:r>
      <w:r w:rsidR="00436283">
        <w:t xml:space="preserve"> factor model</w:t>
      </w:r>
    </w:p>
    <w:p w14:paraId="78D887C2" w14:textId="6A7653BC" w:rsidR="004610F2" w:rsidRDefault="00436283" w:rsidP="00796125">
      <w:pPr>
        <w:pStyle w:val="Heading3"/>
        <w:tabs>
          <w:tab w:val="left" w:pos="720"/>
        </w:tabs>
      </w:pPr>
      <w:r>
        <w:t>“</w:t>
      </w:r>
      <w:r w:rsidR="004610F2" w:rsidRPr="000134C2">
        <w:t>Digesting Anomalies: An Investment Approach</w:t>
      </w:r>
      <w:r>
        <w:t>”</w:t>
      </w:r>
      <w:r w:rsidR="004610F2">
        <w:t>: Zhang, et al (2015)</w:t>
      </w:r>
    </w:p>
    <w:p w14:paraId="25DD1297" w14:textId="77777777" w:rsidR="004610F2" w:rsidRDefault="004610F2" w:rsidP="00796125">
      <w:pPr>
        <w:pStyle w:val="BodyText"/>
        <w:tabs>
          <w:tab w:val="left" w:pos="720"/>
        </w:tabs>
        <w:spacing w:before="120"/>
      </w:pPr>
      <w:r w:rsidRPr="001C56C7">
        <w:t>Abstract</w:t>
      </w:r>
      <w:r>
        <w:t>:</w:t>
      </w:r>
    </w:p>
    <w:p w14:paraId="2D1F0119" w14:textId="77777777" w:rsidR="004610F2" w:rsidRDefault="004610F2" w:rsidP="00796125">
      <w:pPr>
        <w:pStyle w:val="BodyText"/>
        <w:tabs>
          <w:tab w:val="left" w:pos="720"/>
        </w:tabs>
        <w:spacing w:before="120"/>
        <w:ind w:left="360"/>
      </w:pPr>
      <w:r>
        <w:t xml:space="preserve">“An empirical q-factor model consisting of the market factor, a size factor, an investment factor, and a profitability factor largely summarizes the cross section of average stock returns. A comprehensive examination of nearly 80 anomalies reveals that about one-half of the anomalies are insignificant in the broad cross section. More importantly, with a few exceptions, the </w:t>
      </w:r>
      <w:r w:rsidRPr="00F84B72">
        <w:t>q-factor model's performance is</w:t>
      </w:r>
      <w:r>
        <w:t xml:space="preserve"> at least comparable to, and in many cases </w:t>
      </w:r>
      <w:r w:rsidRPr="00F84B72">
        <w:t>better than</w:t>
      </w:r>
      <w:r>
        <w:t xml:space="preserve"> that of the Fama-French (1993) 3-factor model and the Carhart (1997) 4-factor model in capturing the remaining significant anomalies.”</w:t>
      </w:r>
    </w:p>
    <w:p w14:paraId="1979F88C" w14:textId="4C5856EC" w:rsidR="004610F2" w:rsidRDefault="004610F2" w:rsidP="00796125">
      <w:pPr>
        <w:tabs>
          <w:tab w:val="left" w:pos="720"/>
        </w:tabs>
        <w:jc w:val="center"/>
      </w:pPr>
      <w:r w:rsidRPr="001960BB">
        <w:rPr>
          <w:b/>
          <w:bCs/>
        </w:rPr>
        <w:t>q-model:</w:t>
      </w:r>
      <w:r>
        <w:t xml:space="preserve"> </w:t>
      </w:r>
      <w:r w:rsidRPr="00CC3D62">
        <w:rPr>
          <w:rFonts w:asciiTheme="minorHAnsi" w:hAnsiTheme="minorHAnsi" w:cstheme="minorHAnsi"/>
        </w:rPr>
        <w:t xml:space="preserve">Market + Size + </w:t>
      </w:r>
      <w:r>
        <w:rPr>
          <w:rFonts w:asciiTheme="minorHAnsi" w:hAnsiTheme="minorHAnsi" w:cstheme="minorHAnsi"/>
        </w:rPr>
        <w:t xml:space="preserve">High </w:t>
      </w:r>
      <w:r w:rsidRPr="00CC3D62">
        <w:rPr>
          <w:rFonts w:asciiTheme="minorHAnsi" w:hAnsiTheme="minorHAnsi" w:cstheme="minorHAnsi"/>
        </w:rPr>
        <w:t>Profitability</w:t>
      </w:r>
      <w:r>
        <w:rPr>
          <w:rFonts w:asciiTheme="minorHAnsi" w:hAnsiTheme="minorHAnsi" w:cstheme="minorHAnsi"/>
        </w:rPr>
        <w:t xml:space="preserve"> +</w:t>
      </w:r>
      <w:r w:rsidRPr="001C56C7">
        <w:rPr>
          <w:rFonts w:asciiTheme="minorHAnsi" w:hAnsiTheme="minorHAnsi" w:cstheme="minorHAnsi"/>
        </w:rPr>
        <w:t xml:space="preserve"> </w:t>
      </w:r>
      <w:r>
        <w:rPr>
          <w:rFonts w:asciiTheme="minorHAnsi" w:hAnsiTheme="minorHAnsi" w:cstheme="minorHAnsi"/>
        </w:rPr>
        <w:t xml:space="preserve">Conservative </w:t>
      </w:r>
      <w:r w:rsidRPr="00CC3D62">
        <w:rPr>
          <w:rFonts w:asciiTheme="minorHAnsi" w:hAnsiTheme="minorHAnsi" w:cstheme="minorHAnsi"/>
        </w:rPr>
        <w:t>Investment</w:t>
      </w:r>
    </w:p>
    <w:p w14:paraId="7740CBE0" w14:textId="16802000" w:rsidR="004610F2" w:rsidRDefault="00436283" w:rsidP="00796125">
      <w:pPr>
        <w:pStyle w:val="Heading3"/>
        <w:tabs>
          <w:tab w:val="left" w:pos="720"/>
        </w:tabs>
      </w:pPr>
      <w:r>
        <w:t>“</w:t>
      </w:r>
      <w:r w:rsidR="004610F2" w:rsidRPr="002D28B7">
        <w:t>An Augmented q-factor Model with Expected Growth</w:t>
      </w:r>
      <w:r>
        <w:t>”</w:t>
      </w:r>
      <w:r w:rsidR="004610F2">
        <w:t>: Zhang, et al (2021)</w:t>
      </w:r>
    </w:p>
    <w:p w14:paraId="5958EC7A" w14:textId="77777777" w:rsidR="00436283" w:rsidRDefault="00436283" w:rsidP="00436283">
      <w:pPr>
        <w:pStyle w:val="BodyText"/>
        <w:tabs>
          <w:tab w:val="left" w:pos="720"/>
        </w:tabs>
        <w:spacing w:before="120"/>
      </w:pPr>
      <w:r w:rsidRPr="001C56C7">
        <w:t>Abstract</w:t>
      </w:r>
      <w:r>
        <w:t>:</w:t>
      </w:r>
    </w:p>
    <w:p w14:paraId="4374F131" w14:textId="77777777" w:rsidR="00436283" w:rsidRDefault="00436283" w:rsidP="00436283">
      <w:pPr>
        <w:pStyle w:val="BodyText"/>
        <w:tabs>
          <w:tab w:val="left" w:pos="720"/>
        </w:tabs>
        <w:spacing w:before="120"/>
        <w:ind w:left="360"/>
      </w:pPr>
      <w:r w:rsidRPr="001C56C7">
        <w:t xml:space="preserve">In the investment theory, firms with high expected investment growth earn higher expected returns than firms with low expected investment growth, holding investment and expected profitability constant. Building on cross-sectional growth forecasts with Tobin’s q, operating cash flows, and change in return on equity as predictors, an expected growth factor earns an average premium of 0.84% per month (t = 10.27) in the 1967–2018 sample. The q5 model, </w:t>
      </w:r>
      <w:r>
        <w:t>…</w:t>
      </w:r>
      <w:r w:rsidRPr="001C56C7">
        <w:t xml:space="preserve"> outperforms the Fama–French</w:t>
      </w:r>
      <w:r>
        <w:t xml:space="preserve"> </w:t>
      </w:r>
      <w:r w:rsidRPr="001C56C7">
        <w:t>six-factor model.</w:t>
      </w:r>
    </w:p>
    <w:p w14:paraId="0BDA5959" w14:textId="37444909" w:rsidR="004610F2" w:rsidRDefault="004610F2" w:rsidP="00796125">
      <w:pPr>
        <w:tabs>
          <w:tab w:val="left" w:pos="720"/>
        </w:tabs>
      </w:pPr>
      <w:r>
        <w:t>Adding the E</w:t>
      </w:r>
      <w:r w:rsidRPr="001C56C7">
        <w:t xml:space="preserve">xpected </w:t>
      </w:r>
      <w:r>
        <w:t>G</w:t>
      </w:r>
      <w:r w:rsidRPr="001C56C7">
        <w:t xml:space="preserve">rowth </w:t>
      </w:r>
      <w:r>
        <w:t>F</w:t>
      </w:r>
      <w:r w:rsidRPr="001C56C7">
        <w:t>actor</w:t>
      </w:r>
      <w:r>
        <w:t xml:space="preserve"> im</w:t>
      </w:r>
      <w:r w:rsidRPr="00F068A1">
        <w:t>prov</w:t>
      </w:r>
      <w:r>
        <w:t>ed</w:t>
      </w:r>
      <w:r w:rsidRPr="00F068A1">
        <w:t xml:space="preserve"> on the q-factor model substantially, the q</w:t>
      </w:r>
      <w:r w:rsidRPr="00E554CE">
        <w:rPr>
          <w:vertAlign w:val="superscript"/>
        </w:rPr>
        <w:t>5</w:t>
      </w:r>
      <w:r w:rsidRPr="00F068A1">
        <w:t xml:space="preserve"> model was the best performing model among all the factor models tested.</w:t>
      </w:r>
      <w:r>
        <w:t xml:space="preserve"> “</w:t>
      </w:r>
      <w:r w:rsidRPr="001C56C7">
        <w:t>an expected growth factor earns an average premium of 0.84% per month</w:t>
      </w:r>
      <w:r>
        <w:t>”</w:t>
      </w:r>
    </w:p>
    <w:p w14:paraId="51B2BB2E" w14:textId="50C3B68A" w:rsidR="00E554CE" w:rsidRDefault="00E554CE" w:rsidP="00796125">
      <w:pPr>
        <w:tabs>
          <w:tab w:val="left" w:pos="720"/>
        </w:tabs>
      </w:pPr>
      <w:r>
        <w:t>Where Expected Investment Growth is calculated from the log of Tobin’s q; cash flow measured by Cop;</w:t>
      </w:r>
      <w:r w:rsidRPr="00BA1D36">
        <w:t xml:space="preserve"> </w:t>
      </w:r>
      <w:r>
        <w:t xml:space="preserve">Change in Return on Equity measured by </w:t>
      </w:r>
      <w:proofErr w:type="spellStart"/>
      <w:r>
        <w:t>dRoe</w:t>
      </w:r>
      <w:proofErr w:type="spellEnd"/>
      <w:r>
        <w:t>.</w:t>
      </w:r>
    </w:p>
    <w:p w14:paraId="52A2604E" w14:textId="10818235" w:rsidR="004610F2" w:rsidRDefault="004610F2" w:rsidP="00796125">
      <w:pPr>
        <w:pStyle w:val="BodyText"/>
        <w:tabs>
          <w:tab w:val="left" w:pos="720"/>
        </w:tabs>
        <w:spacing w:before="120"/>
        <w:jc w:val="center"/>
      </w:pPr>
      <w:r w:rsidRPr="00F068A1">
        <w:rPr>
          <w:b/>
          <w:bCs/>
        </w:rPr>
        <w:t>q</w:t>
      </w:r>
      <w:r w:rsidRPr="00F068A1">
        <w:rPr>
          <w:b/>
          <w:bCs/>
          <w:vertAlign w:val="superscript"/>
        </w:rPr>
        <w:t>5</w:t>
      </w:r>
      <w:r w:rsidRPr="00F068A1">
        <w:rPr>
          <w:b/>
          <w:bCs/>
        </w:rPr>
        <w:t xml:space="preserve"> model</w:t>
      </w:r>
      <w:r>
        <w:t xml:space="preserve">: </w:t>
      </w:r>
      <w:r w:rsidRPr="00CC3D62">
        <w:rPr>
          <w:rFonts w:asciiTheme="minorHAnsi" w:hAnsiTheme="minorHAnsi" w:cstheme="minorHAnsi"/>
        </w:rPr>
        <w:t xml:space="preserve">Market + Size + </w:t>
      </w:r>
      <w:r>
        <w:rPr>
          <w:rFonts w:asciiTheme="minorHAnsi" w:hAnsiTheme="minorHAnsi" w:cstheme="minorHAnsi"/>
        </w:rPr>
        <w:t xml:space="preserve">High </w:t>
      </w:r>
      <w:r w:rsidRPr="00CC3D62">
        <w:rPr>
          <w:rFonts w:asciiTheme="minorHAnsi" w:hAnsiTheme="minorHAnsi" w:cstheme="minorHAnsi"/>
        </w:rPr>
        <w:t>Profitability</w:t>
      </w:r>
      <w:r>
        <w:rPr>
          <w:rFonts w:asciiTheme="minorHAnsi" w:hAnsiTheme="minorHAnsi" w:cstheme="minorHAnsi"/>
        </w:rPr>
        <w:t xml:space="preserve"> +</w:t>
      </w:r>
      <w:r w:rsidRPr="001C56C7">
        <w:rPr>
          <w:rFonts w:asciiTheme="minorHAnsi" w:hAnsiTheme="minorHAnsi" w:cstheme="minorHAnsi"/>
        </w:rPr>
        <w:t xml:space="preserve"> </w:t>
      </w:r>
      <w:r>
        <w:rPr>
          <w:rFonts w:asciiTheme="minorHAnsi" w:hAnsiTheme="minorHAnsi" w:cstheme="minorHAnsi"/>
        </w:rPr>
        <w:t xml:space="preserve">Conservative </w:t>
      </w:r>
      <w:r w:rsidRPr="00CC3D62">
        <w:rPr>
          <w:rFonts w:asciiTheme="minorHAnsi" w:hAnsiTheme="minorHAnsi" w:cstheme="minorHAnsi"/>
        </w:rPr>
        <w:t>Investment</w:t>
      </w:r>
      <w:r>
        <w:t xml:space="preserve"> + E</w:t>
      </w:r>
      <w:r w:rsidRPr="001C56C7">
        <w:t xml:space="preserve">xpected </w:t>
      </w:r>
      <w:r>
        <w:t>G</w:t>
      </w:r>
      <w:r w:rsidRPr="001C56C7">
        <w:t xml:space="preserve">rowth </w:t>
      </w:r>
      <w:r>
        <w:t>F</w:t>
      </w:r>
      <w:r w:rsidRPr="001C56C7">
        <w:t>actor</w:t>
      </w:r>
    </w:p>
    <w:p w14:paraId="459ADCE6" w14:textId="30A425EB" w:rsidR="00943074" w:rsidRDefault="00C65AA8" w:rsidP="00796125">
      <w:pPr>
        <w:pStyle w:val="Heading1"/>
        <w:numPr>
          <w:ilvl w:val="0"/>
          <w:numId w:val="23"/>
        </w:numPr>
        <w:tabs>
          <w:tab w:val="left" w:pos="720"/>
        </w:tabs>
        <w:spacing w:before="240"/>
        <w:ind w:left="0" w:hanging="540"/>
      </w:pPr>
      <w:r>
        <w:t>Deep Dive into the 146-page Facto</w:t>
      </w:r>
      <w:r w:rsidR="00BA1D36">
        <w:t xml:space="preserve">r </w:t>
      </w:r>
      <w:r w:rsidR="00146888">
        <w:t>Research</w:t>
      </w:r>
      <w:r w:rsidR="00BA1D36">
        <w:t xml:space="preserve"> Paper</w:t>
      </w:r>
      <w:r w:rsidR="00146888">
        <w:t xml:space="preserve">: </w:t>
      </w:r>
      <w:r w:rsidR="00215DAA">
        <w:t>“</w:t>
      </w:r>
      <w:r w:rsidR="00943074" w:rsidRPr="00146888">
        <w:t>Replicating</w:t>
      </w:r>
      <w:r w:rsidR="00943074">
        <w:t xml:space="preserve"> Anomalies</w:t>
      </w:r>
      <w:r w:rsidR="00215DAA">
        <w:t>”</w:t>
      </w:r>
    </w:p>
    <w:p w14:paraId="622BC82A" w14:textId="171FF993" w:rsidR="001C7575" w:rsidRDefault="001C7575" w:rsidP="00796125">
      <w:pPr>
        <w:tabs>
          <w:tab w:val="left" w:pos="720"/>
        </w:tabs>
      </w:pPr>
      <w:r>
        <w:t>Disclaimer: The following section contains passages directly from the research paper to keep close to the source materials insights.</w:t>
      </w:r>
    </w:p>
    <w:p w14:paraId="646D6011" w14:textId="2AE30461" w:rsidR="00BA1D36" w:rsidRDefault="002C3B5D" w:rsidP="00796125">
      <w:pPr>
        <w:tabs>
          <w:tab w:val="left" w:pos="720"/>
        </w:tabs>
      </w:pPr>
      <w:r>
        <w:t>Hou, Xue and Zhang conducted a gigantic replication of the entire anomalies literature by compiling the largest-to-date data library with 447 anomaly variables</w:t>
      </w:r>
      <w:r w:rsidR="00BA1D36">
        <w:t xml:space="preserve"> in a study named </w:t>
      </w:r>
      <w:r w:rsidR="00BA1D36" w:rsidRPr="00BA1D36">
        <w:t>“Replicating Anomalies” by Hou, Xue, &amp; Zhang (2017)</w:t>
      </w:r>
      <w:r w:rsidR="00BA1D36">
        <w:t>.</w:t>
      </w:r>
    </w:p>
    <w:p w14:paraId="4D59E3C5" w14:textId="500F22D6" w:rsidR="00A579C1" w:rsidRDefault="002C3B5D" w:rsidP="00796125">
      <w:pPr>
        <w:tabs>
          <w:tab w:val="left" w:pos="720"/>
        </w:tabs>
      </w:pPr>
      <w:r>
        <w:t>This</w:t>
      </w:r>
      <w:r w:rsidR="00943074">
        <w:t xml:space="preserve"> </w:t>
      </w:r>
      <w:r>
        <w:t xml:space="preserve">included </w:t>
      </w:r>
      <w:r w:rsidR="00943074">
        <w:t>57</w:t>
      </w:r>
      <w:r w:rsidRPr="002C3B5D">
        <w:t xml:space="preserve"> </w:t>
      </w:r>
      <w:r>
        <w:t>variables on momentum</w:t>
      </w:r>
      <w:r w:rsidR="00943074">
        <w:t>, 68</w:t>
      </w:r>
      <w:r w:rsidRPr="002C3B5D">
        <w:t xml:space="preserve"> </w:t>
      </w:r>
      <w:r>
        <w:t>variables on value-versus-growth</w:t>
      </w:r>
      <w:r w:rsidR="00943074">
        <w:t>, 38</w:t>
      </w:r>
      <w:r w:rsidRPr="002C3B5D">
        <w:t xml:space="preserve"> </w:t>
      </w:r>
      <w:r>
        <w:t>variables from investment</w:t>
      </w:r>
      <w:r w:rsidR="00943074">
        <w:t>, 79</w:t>
      </w:r>
      <w:r w:rsidRPr="002C3B5D">
        <w:t xml:space="preserve"> </w:t>
      </w:r>
      <w:r>
        <w:t>variables on profitability,</w:t>
      </w:r>
      <w:r w:rsidR="00943074">
        <w:t xml:space="preserve"> 103</w:t>
      </w:r>
      <w:r w:rsidRPr="002C3B5D">
        <w:t xml:space="preserve"> </w:t>
      </w:r>
      <w:r>
        <w:t>variables on intangibles,</w:t>
      </w:r>
      <w:r w:rsidR="00943074">
        <w:t xml:space="preserve"> and 102</w:t>
      </w:r>
      <w:r w:rsidRPr="002C3B5D">
        <w:t xml:space="preserve"> </w:t>
      </w:r>
      <w:r>
        <w:t>variables on</w:t>
      </w:r>
      <w:r w:rsidR="00943074">
        <w:t xml:space="preserve"> trading frictions categories,</w:t>
      </w:r>
      <w:r w:rsidR="00943074" w:rsidRPr="00943074">
        <w:t xml:space="preserve"> </w:t>
      </w:r>
      <w:r w:rsidR="00943074">
        <w:t>using a common set of procedures.</w:t>
      </w:r>
      <w:r>
        <w:t xml:space="preserve"> </w:t>
      </w:r>
      <w:r w:rsidR="00505332">
        <w:t xml:space="preserve">They results found indicate widespread statistical p-hacking in the anomalies literature. </w:t>
      </w:r>
    </w:p>
    <w:p w14:paraId="62DD6664" w14:textId="44329202" w:rsidR="00A579C1" w:rsidRDefault="00505332" w:rsidP="00796125">
      <w:pPr>
        <w:tabs>
          <w:tab w:val="left" w:pos="720"/>
        </w:tabs>
      </w:pPr>
      <w:r>
        <w:t>Out of 447 anomalies, 64% are insignificant at the standard 5% level</w:t>
      </w:r>
      <w:r w:rsidR="00A579C1">
        <w:t>; imposing a t-value of 3 cutoff, rather than the standard t-test of 1.96, raised the number of insignificant anomalies further to 85%:</w:t>
      </w:r>
    </w:p>
    <w:p w14:paraId="49E654CD" w14:textId="77777777" w:rsidR="00A579C1" w:rsidRPr="002C3B5D" w:rsidRDefault="00A579C1" w:rsidP="00796125">
      <w:pPr>
        <w:pStyle w:val="NoSpacing"/>
        <w:numPr>
          <w:ilvl w:val="0"/>
          <w:numId w:val="19"/>
        </w:numPr>
        <w:tabs>
          <w:tab w:val="left" w:pos="720"/>
        </w:tabs>
        <w:rPr>
          <w:color w:val="auto"/>
        </w:rPr>
      </w:pPr>
      <w:r w:rsidRPr="00F65FBB">
        <w:rPr>
          <w:b/>
          <w:bCs/>
          <w:color w:val="00B050"/>
        </w:rPr>
        <w:t xml:space="preserve">161 anomalies </w:t>
      </w:r>
      <w:r>
        <w:rPr>
          <w:b/>
          <w:bCs/>
          <w:color w:val="00B050"/>
        </w:rPr>
        <w:t xml:space="preserve">are </w:t>
      </w:r>
      <w:r w:rsidRPr="007C63F3">
        <w:rPr>
          <w:b/>
          <w:bCs/>
          <w:color w:val="00B050"/>
        </w:rPr>
        <w:t>Significant at the 95% confidence level</w:t>
      </w:r>
      <w:r>
        <w:rPr>
          <w:b/>
          <w:bCs/>
          <w:color w:val="00B050"/>
        </w:rPr>
        <w:t xml:space="preserve"> </w:t>
      </w:r>
      <w:r w:rsidRPr="00A579C1">
        <w:rPr>
          <w:b/>
          <w:bCs/>
          <w:color w:val="00B050"/>
        </w:rPr>
        <w:t>with a t-test ≥ 1.96</w:t>
      </w:r>
    </w:p>
    <w:p w14:paraId="62ADF420" w14:textId="7BBB29B5" w:rsidR="00A579C1" w:rsidRPr="002C3B5D" w:rsidRDefault="00A579C1" w:rsidP="00796125">
      <w:pPr>
        <w:pStyle w:val="ListParagraph"/>
        <w:numPr>
          <w:ilvl w:val="1"/>
          <w:numId w:val="19"/>
        </w:numPr>
        <w:tabs>
          <w:tab w:val="left" w:pos="720"/>
        </w:tabs>
      </w:pPr>
      <w:r w:rsidRPr="0079449E">
        <w:t xml:space="preserve">37 significant </w:t>
      </w:r>
      <w:r>
        <w:t>M</w:t>
      </w:r>
      <w:r w:rsidRPr="0079449E">
        <w:t>omentum anomalies</w:t>
      </w:r>
    </w:p>
    <w:p w14:paraId="467B5BBF" w14:textId="54584233" w:rsidR="00A579C1" w:rsidRPr="002C3B5D" w:rsidRDefault="00A579C1" w:rsidP="00796125">
      <w:pPr>
        <w:pStyle w:val="ListParagraph"/>
        <w:numPr>
          <w:ilvl w:val="1"/>
          <w:numId w:val="19"/>
        </w:numPr>
        <w:tabs>
          <w:tab w:val="left" w:pos="720"/>
        </w:tabs>
      </w:pPr>
      <w:r w:rsidRPr="0079449E">
        <w:lastRenderedPageBreak/>
        <w:t xml:space="preserve">31 significant </w:t>
      </w:r>
      <w:r>
        <w:t>V</w:t>
      </w:r>
      <w:r w:rsidRPr="0079449E">
        <w:t>alue-versus-growth</w:t>
      </w:r>
    </w:p>
    <w:p w14:paraId="057B8C5A" w14:textId="1E8E0592" w:rsidR="00A579C1" w:rsidRPr="002C3B5D" w:rsidRDefault="00A579C1" w:rsidP="00796125">
      <w:pPr>
        <w:pStyle w:val="ListParagraph"/>
        <w:numPr>
          <w:ilvl w:val="1"/>
          <w:numId w:val="19"/>
        </w:numPr>
        <w:tabs>
          <w:tab w:val="left" w:pos="720"/>
        </w:tabs>
      </w:pPr>
      <w:r w:rsidRPr="0079449E">
        <w:t xml:space="preserve">27 significant </w:t>
      </w:r>
      <w:r>
        <w:t>I</w:t>
      </w:r>
      <w:r w:rsidRPr="0079449E">
        <w:t>nvestment anomalies</w:t>
      </w:r>
    </w:p>
    <w:p w14:paraId="6FC403A0" w14:textId="2BE69E99" w:rsidR="00A579C1" w:rsidRPr="002C3B5D" w:rsidRDefault="00A579C1" w:rsidP="00796125">
      <w:pPr>
        <w:pStyle w:val="ListParagraph"/>
        <w:numPr>
          <w:ilvl w:val="1"/>
          <w:numId w:val="19"/>
        </w:numPr>
        <w:tabs>
          <w:tab w:val="left" w:pos="720"/>
        </w:tabs>
      </w:pPr>
      <w:r w:rsidRPr="0079449E">
        <w:t xml:space="preserve">33 significant </w:t>
      </w:r>
      <w:r>
        <w:t>P</w:t>
      </w:r>
      <w:r w:rsidRPr="0079449E">
        <w:t>rofitability anomalies</w:t>
      </w:r>
    </w:p>
    <w:p w14:paraId="4DCC1466" w14:textId="32D60F15" w:rsidR="00A579C1" w:rsidRPr="002C3B5D" w:rsidRDefault="00A579C1" w:rsidP="00796125">
      <w:pPr>
        <w:pStyle w:val="ListParagraph"/>
        <w:numPr>
          <w:ilvl w:val="1"/>
          <w:numId w:val="19"/>
        </w:numPr>
        <w:tabs>
          <w:tab w:val="left" w:pos="720"/>
        </w:tabs>
      </w:pPr>
      <w:r w:rsidRPr="0079449E">
        <w:t xml:space="preserve">26 significant </w:t>
      </w:r>
      <w:r>
        <w:t>I</w:t>
      </w:r>
      <w:r w:rsidRPr="0079449E">
        <w:t>ntangibles anomalies</w:t>
      </w:r>
    </w:p>
    <w:p w14:paraId="29376FE3" w14:textId="6A40854C" w:rsidR="00A579C1" w:rsidRPr="00730DFD" w:rsidRDefault="00A579C1" w:rsidP="00796125">
      <w:pPr>
        <w:pStyle w:val="ListParagraph"/>
        <w:numPr>
          <w:ilvl w:val="1"/>
          <w:numId w:val="19"/>
        </w:numPr>
        <w:tabs>
          <w:tab w:val="left" w:pos="720"/>
        </w:tabs>
      </w:pPr>
      <w:r>
        <w:t>7 significant Trading frictions anomalies</w:t>
      </w:r>
      <w:r w:rsidR="00B97EF8">
        <w:t>. 93% were insignificant.</w:t>
      </w:r>
    </w:p>
    <w:p w14:paraId="7E77DFBE" w14:textId="4E3055C9" w:rsidR="00943074" w:rsidRDefault="00F65FBB" w:rsidP="00796125">
      <w:pPr>
        <w:pStyle w:val="NoSpacing"/>
        <w:numPr>
          <w:ilvl w:val="0"/>
          <w:numId w:val="7"/>
        </w:numPr>
        <w:tabs>
          <w:tab w:val="left" w:pos="720"/>
        </w:tabs>
        <w:rPr>
          <w:color w:val="auto"/>
        </w:rPr>
      </w:pPr>
      <w:r w:rsidRPr="00F65FBB">
        <w:rPr>
          <w:b/>
          <w:bCs/>
          <w:color w:val="00B050"/>
        </w:rPr>
        <w:t xml:space="preserve">67 anomalies </w:t>
      </w:r>
      <w:r>
        <w:rPr>
          <w:b/>
          <w:bCs/>
          <w:color w:val="00B050"/>
        </w:rPr>
        <w:t xml:space="preserve">are </w:t>
      </w:r>
      <w:r w:rsidRPr="00F65FBB">
        <w:rPr>
          <w:b/>
          <w:bCs/>
          <w:color w:val="00B050"/>
        </w:rPr>
        <w:t>Very</w:t>
      </w:r>
      <w:r w:rsidRPr="007C63F3">
        <w:rPr>
          <w:b/>
          <w:bCs/>
          <w:color w:val="00B050"/>
        </w:rPr>
        <w:t xml:space="preserve"> Significant</w:t>
      </w:r>
      <w:r>
        <w:rPr>
          <w:b/>
          <w:bCs/>
          <w:color w:val="00B050"/>
        </w:rPr>
        <w:t xml:space="preserve"> with</w:t>
      </w:r>
      <w:r w:rsidRPr="007C63F3">
        <w:rPr>
          <w:b/>
          <w:bCs/>
          <w:color w:val="00B050"/>
        </w:rPr>
        <w:t xml:space="preserve"> more than 99% confidence (t</w:t>
      </w:r>
      <w:r>
        <w:rPr>
          <w:b/>
          <w:bCs/>
          <w:color w:val="00B050"/>
        </w:rPr>
        <w:t>-</w:t>
      </w:r>
      <w:r w:rsidRPr="007C63F3">
        <w:rPr>
          <w:b/>
          <w:bCs/>
          <w:color w:val="00B050"/>
        </w:rPr>
        <w:t xml:space="preserve">test </w:t>
      </w:r>
      <w:r w:rsidRPr="00505332">
        <w:rPr>
          <w:b/>
          <w:bCs/>
          <w:color w:val="00B050"/>
        </w:rPr>
        <w:t>≥</w:t>
      </w:r>
      <w:r>
        <w:rPr>
          <w:b/>
          <w:bCs/>
          <w:color w:val="00B050"/>
        </w:rPr>
        <w:t xml:space="preserve"> </w:t>
      </w:r>
      <w:r w:rsidRPr="007C63F3">
        <w:rPr>
          <w:b/>
          <w:bCs/>
          <w:color w:val="00B050"/>
        </w:rPr>
        <w:t>3)</w:t>
      </w:r>
      <w:r>
        <w:rPr>
          <w:b/>
          <w:bCs/>
          <w:color w:val="00B050"/>
        </w:rPr>
        <w:t xml:space="preserve"> </w:t>
      </w:r>
      <w:r w:rsidRPr="00F65FBB">
        <w:rPr>
          <w:color w:val="auto"/>
        </w:rPr>
        <w:t>by</w:t>
      </w:r>
      <w:r>
        <w:rPr>
          <w:color w:val="auto"/>
        </w:rPr>
        <w:t xml:space="preserve"> i</w:t>
      </w:r>
      <w:r w:rsidR="00943074" w:rsidRPr="00730DFD">
        <w:rPr>
          <w:color w:val="auto"/>
        </w:rPr>
        <w:t xml:space="preserve">mposing a cutoff t-value of </w:t>
      </w:r>
      <w:r w:rsidR="0079449E">
        <w:rPr>
          <w:color w:val="auto"/>
        </w:rPr>
        <w:t>3</w:t>
      </w:r>
      <w:r>
        <w:rPr>
          <w:color w:val="auto"/>
        </w:rPr>
        <w:t xml:space="preserve">, </w:t>
      </w:r>
      <w:r w:rsidR="00943074" w:rsidRPr="00730DFD">
        <w:rPr>
          <w:color w:val="auto"/>
        </w:rPr>
        <w:t xml:space="preserve">instead of the conventional </w:t>
      </w:r>
      <w:r>
        <w:rPr>
          <w:color w:val="auto"/>
        </w:rPr>
        <w:t>9</w:t>
      </w:r>
      <w:r w:rsidR="00943074" w:rsidRPr="00730DFD">
        <w:rPr>
          <w:color w:val="auto"/>
        </w:rPr>
        <w:t>5% level</w:t>
      </w:r>
      <w:r>
        <w:rPr>
          <w:color w:val="auto"/>
        </w:rPr>
        <w:t>.</w:t>
      </w:r>
    </w:p>
    <w:p w14:paraId="5975B146" w14:textId="108BAB2A" w:rsidR="00A579C1" w:rsidRDefault="00A579C1" w:rsidP="00796125">
      <w:pPr>
        <w:pStyle w:val="ListParagraph"/>
        <w:numPr>
          <w:ilvl w:val="1"/>
          <w:numId w:val="7"/>
        </w:numPr>
        <w:tabs>
          <w:tab w:val="left" w:pos="720"/>
        </w:tabs>
      </w:pPr>
      <w:r>
        <w:t>9 very significant in M</w:t>
      </w:r>
      <w:r w:rsidRPr="0079449E">
        <w:t xml:space="preserve">omentum </w:t>
      </w:r>
      <w:r>
        <w:t>category</w:t>
      </w:r>
    </w:p>
    <w:p w14:paraId="131EA159" w14:textId="57E79D17" w:rsidR="00A579C1" w:rsidRDefault="00A579C1" w:rsidP="00796125">
      <w:pPr>
        <w:pStyle w:val="ListParagraph"/>
        <w:numPr>
          <w:ilvl w:val="1"/>
          <w:numId w:val="7"/>
        </w:numPr>
        <w:tabs>
          <w:tab w:val="left" w:pos="720"/>
        </w:tabs>
      </w:pPr>
      <w:r>
        <w:t>6 very significant in Value vs. Growth</w:t>
      </w:r>
      <w:r w:rsidRPr="001424A2">
        <w:t xml:space="preserve"> </w:t>
      </w:r>
      <w:r>
        <w:t>category:</w:t>
      </w:r>
    </w:p>
    <w:p w14:paraId="1920A1C9" w14:textId="6B8254D1" w:rsidR="00A579C1" w:rsidRDefault="00A579C1" w:rsidP="00796125">
      <w:pPr>
        <w:pStyle w:val="ListParagraph"/>
        <w:numPr>
          <w:ilvl w:val="1"/>
          <w:numId w:val="7"/>
        </w:numPr>
        <w:tabs>
          <w:tab w:val="left" w:pos="720"/>
        </w:tabs>
      </w:pPr>
      <w:r>
        <w:t>7 very significant in Investment</w:t>
      </w:r>
      <w:r w:rsidRPr="001424A2">
        <w:t xml:space="preserve"> </w:t>
      </w:r>
      <w:r>
        <w:t>category</w:t>
      </w:r>
    </w:p>
    <w:p w14:paraId="13EB5651" w14:textId="01FCD17D" w:rsidR="00A579C1" w:rsidRDefault="00A579C1" w:rsidP="00796125">
      <w:pPr>
        <w:pStyle w:val="ListParagraph"/>
        <w:numPr>
          <w:ilvl w:val="1"/>
          <w:numId w:val="7"/>
        </w:numPr>
        <w:tabs>
          <w:tab w:val="left" w:pos="720"/>
        </w:tabs>
      </w:pPr>
      <w:r>
        <w:t>9 very significant in Profitability</w:t>
      </w:r>
      <w:r w:rsidRPr="001424A2">
        <w:t xml:space="preserve"> </w:t>
      </w:r>
      <w:r>
        <w:t>category</w:t>
      </w:r>
    </w:p>
    <w:p w14:paraId="465B210A" w14:textId="6DE54A87" w:rsidR="00A579C1" w:rsidRDefault="00A579C1" w:rsidP="00796125">
      <w:pPr>
        <w:pStyle w:val="ListParagraph"/>
        <w:numPr>
          <w:ilvl w:val="1"/>
          <w:numId w:val="7"/>
        </w:numPr>
        <w:tabs>
          <w:tab w:val="left" w:pos="720"/>
        </w:tabs>
      </w:pPr>
      <w:r>
        <w:t>11 very significant in Intangibles</w:t>
      </w:r>
      <w:r w:rsidRPr="001424A2">
        <w:t xml:space="preserve"> </w:t>
      </w:r>
      <w:r>
        <w:t>category</w:t>
      </w:r>
    </w:p>
    <w:p w14:paraId="2F57E194" w14:textId="2A8C3112" w:rsidR="00A579C1" w:rsidRPr="00A579C1" w:rsidRDefault="00A579C1" w:rsidP="00796125">
      <w:pPr>
        <w:pStyle w:val="ListParagraph"/>
        <w:numPr>
          <w:ilvl w:val="1"/>
          <w:numId w:val="7"/>
        </w:numPr>
        <w:tabs>
          <w:tab w:val="left" w:pos="720"/>
        </w:tabs>
      </w:pPr>
      <w:r>
        <w:t>4 very significant in Trading Frictions category</w:t>
      </w:r>
    </w:p>
    <w:p w14:paraId="07461175" w14:textId="2D5DA0D1" w:rsidR="00325435" w:rsidRPr="00505332" w:rsidRDefault="00505332" w:rsidP="00796125">
      <w:pPr>
        <w:pStyle w:val="NoSpacing"/>
        <w:numPr>
          <w:ilvl w:val="0"/>
          <w:numId w:val="7"/>
        </w:numPr>
        <w:tabs>
          <w:tab w:val="left" w:pos="720"/>
        </w:tabs>
        <w:rPr>
          <w:color w:val="auto"/>
        </w:rPr>
      </w:pPr>
      <w:r w:rsidRPr="00505332">
        <w:rPr>
          <w:color w:val="auto"/>
        </w:rPr>
        <w:t>A</w:t>
      </w:r>
      <w:r w:rsidR="00325435" w:rsidRPr="00505332">
        <w:rPr>
          <w:color w:val="auto"/>
        </w:rPr>
        <w:t xml:space="preserve">pplying the q-factor model </w:t>
      </w:r>
      <w:r w:rsidRPr="00505332">
        <w:rPr>
          <w:color w:val="auto"/>
        </w:rPr>
        <w:t xml:space="preserve">to </w:t>
      </w:r>
      <w:r w:rsidR="00325435" w:rsidRPr="00505332">
        <w:rPr>
          <w:color w:val="auto"/>
        </w:rPr>
        <w:t>explain</w:t>
      </w:r>
      <w:r w:rsidRPr="00505332">
        <w:rPr>
          <w:color w:val="auto"/>
        </w:rPr>
        <w:t xml:space="preserve"> the 161 significant anomalies, left </w:t>
      </w:r>
      <w:r w:rsidR="00325435" w:rsidRPr="00A579C1">
        <w:rPr>
          <w:b/>
          <w:bCs/>
          <w:color w:val="00B050"/>
        </w:rPr>
        <w:t xml:space="preserve">46 </w:t>
      </w:r>
      <w:r w:rsidR="00751ACC" w:rsidRPr="00A579C1">
        <w:rPr>
          <w:b/>
          <w:bCs/>
          <w:color w:val="00B050"/>
        </w:rPr>
        <w:t xml:space="preserve">unexplained </w:t>
      </w:r>
      <w:r w:rsidR="00325435" w:rsidRPr="00A579C1">
        <w:rPr>
          <w:b/>
          <w:bCs/>
          <w:color w:val="00B050"/>
        </w:rPr>
        <w:t xml:space="preserve">alphas </w:t>
      </w:r>
      <w:r w:rsidR="00751ACC" w:rsidRPr="00A579C1">
        <w:rPr>
          <w:b/>
          <w:bCs/>
          <w:color w:val="00B050"/>
        </w:rPr>
        <w:t>with significance</w:t>
      </w:r>
      <w:r w:rsidR="00325435" w:rsidRPr="00A579C1">
        <w:rPr>
          <w:b/>
          <w:bCs/>
          <w:color w:val="00B050"/>
        </w:rPr>
        <w:t xml:space="preserve"> (</w:t>
      </w:r>
      <w:r w:rsidRPr="00A579C1">
        <w:rPr>
          <w:b/>
          <w:bCs/>
          <w:color w:val="00B050"/>
        </w:rPr>
        <w:t xml:space="preserve">and </w:t>
      </w:r>
      <w:r w:rsidR="00325435" w:rsidRPr="00A579C1">
        <w:rPr>
          <w:b/>
          <w:bCs/>
          <w:color w:val="00B050"/>
        </w:rPr>
        <w:t xml:space="preserve">11 </w:t>
      </w:r>
      <w:r w:rsidRPr="00A579C1">
        <w:rPr>
          <w:b/>
          <w:bCs/>
          <w:color w:val="00B050"/>
        </w:rPr>
        <w:t xml:space="preserve">anomalies </w:t>
      </w:r>
      <w:r w:rsidR="00325435" w:rsidRPr="00A579C1">
        <w:rPr>
          <w:b/>
          <w:bCs/>
          <w:color w:val="00B050"/>
        </w:rPr>
        <w:t>with t</w:t>
      </w:r>
      <w:r w:rsidRPr="00A579C1">
        <w:rPr>
          <w:b/>
          <w:bCs/>
          <w:color w:val="00B050"/>
        </w:rPr>
        <w:t xml:space="preserve">-test </w:t>
      </w:r>
      <w:r w:rsidR="00325435" w:rsidRPr="00A579C1">
        <w:rPr>
          <w:b/>
          <w:bCs/>
          <w:color w:val="00B050"/>
        </w:rPr>
        <w:t>≥ 3</w:t>
      </w:r>
      <w:r w:rsidR="00325435" w:rsidRPr="00A579C1">
        <w:rPr>
          <w:color w:val="00B050"/>
        </w:rPr>
        <w:t>).</w:t>
      </w:r>
    </w:p>
    <w:p w14:paraId="4DD0AA21" w14:textId="16EDF907" w:rsidR="00751ACC" w:rsidRPr="00A579C1" w:rsidRDefault="008E7334" w:rsidP="00796125">
      <w:pPr>
        <w:pStyle w:val="Heading2"/>
        <w:tabs>
          <w:tab w:val="left" w:pos="720"/>
        </w:tabs>
      </w:pPr>
      <w:r>
        <w:t>46 U</w:t>
      </w:r>
      <w:r w:rsidR="00751ACC" w:rsidRPr="00A579C1">
        <w:t xml:space="preserve">nexplained </w:t>
      </w:r>
      <w:r>
        <w:t>A</w:t>
      </w:r>
      <w:r w:rsidR="00751ACC" w:rsidRPr="00A579C1">
        <w:t>nomalies</w:t>
      </w:r>
      <w:r>
        <w:t xml:space="preserve"> using the q-factor model</w:t>
      </w:r>
      <w:r w:rsidR="00751ACC" w:rsidRPr="00A579C1">
        <w:t>:</w:t>
      </w:r>
    </w:p>
    <w:p w14:paraId="034E7CA8" w14:textId="77777777" w:rsidR="008E7334" w:rsidRPr="008E7334" w:rsidRDefault="008E7334" w:rsidP="00796125">
      <w:pPr>
        <w:tabs>
          <w:tab w:val="left" w:pos="720"/>
        </w:tabs>
        <w:rPr>
          <w:b/>
          <w:bCs/>
        </w:rPr>
      </w:pPr>
      <w:r w:rsidRPr="008E7334">
        <w:rPr>
          <w:b/>
          <w:bCs/>
        </w:rPr>
        <w:t>The returns of the 46 unexplained anomalies with the q-factor model:</w:t>
      </w:r>
    </w:p>
    <w:p w14:paraId="777E2403" w14:textId="38D47AA3" w:rsidR="00A579C1" w:rsidRDefault="00A579C1" w:rsidP="00796125">
      <w:pPr>
        <w:tabs>
          <w:tab w:val="left" w:pos="720"/>
        </w:tabs>
      </w:pPr>
      <w:r>
        <w:t xml:space="preserve">Combining all 46 q-anomalies leads to an average return spread of </w:t>
      </w:r>
      <w:r w:rsidRPr="008E7334">
        <w:t xml:space="preserve">1.66% </w:t>
      </w:r>
      <w:r w:rsidRPr="00A579C1">
        <w:t>per month</w:t>
      </w:r>
      <w:r>
        <w:t xml:space="preserve"> (t = 10.28). </w:t>
      </w:r>
    </w:p>
    <w:p w14:paraId="0EDD2E58" w14:textId="77777777" w:rsidR="00A579C1" w:rsidRDefault="00A579C1" w:rsidP="00796125">
      <w:pPr>
        <w:tabs>
          <w:tab w:val="left" w:pos="720"/>
        </w:tabs>
      </w:pPr>
      <w:r>
        <w:t>The average monthly return of high-minus-low deciles:</w:t>
      </w:r>
    </w:p>
    <w:p w14:paraId="564793F9" w14:textId="77777777" w:rsidR="00A579C1" w:rsidRDefault="00A579C1" w:rsidP="00796125">
      <w:pPr>
        <w:pStyle w:val="ListParagraph"/>
        <w:numPr>
          <w:ilvl w:val="0"/>
          <w:numId w:val="19"/>
        </w:numPr>
        <w:tabs>
          <w:tab w:val="left" w:pos="720"/>
        </w:tabs>
      </w:pPr>
      <w:r>
        <w:t>Momentum</w:t>
      </w:r>
      <w:r w:rsidRPr="001424A2">
        <w:t xml:space="preserve"> </w:t>
      </w:r>
      <w:r>
        <w:t>category: 1.1%</w:t>
      </w:r>
    </w:p>
    <w:p w14:paraId="1304A588" w14:textId="77777777" w:rsidR="00A579C1" w:rsidRDefault="00A579C1" w:rsidP="00796125">
      <w:pPr>
        <w:pStyle w:val="ListParagraph"/>
        <w:numPr>
          <w:ilvl w:val="0"/>
          <w:numId w:val="19"/>
        </w:numPr>
        <w:tabs>
          <w:tab w:val="left" w:pos="720"/>
        </w:tabs>
      </w:pPr>
      <w:r>
        <w:t>Value vs. Growth</w:t>
      </w:r>
      <w:r w:rsidRPr="001424A2">
        <w:t xml:space="preserve"> </w:t>
      </w:r>
      <w:r>
        <w:t>category: 0.6%</w:t>
      </w:r>
    </w:p>
    <w:p w14:paraId="344EFF5D" w14:textId="77777777" w:rsidR="00A579C1" w:rsidRDefault="00A579C1" w:rsidP="00796125">
      <w:pPr>
        <w:pStyle w:val="ListParagraph"/>
        <w:numPr>
          <w:ilvl w:val="0"/>
          <w:numId w:val="19"/>
        </w:numPr>
        <w:tabs>
          <w:tab w:val="left" w:pos="720"/>
        </w:tabs>
      </w:pPr>
      <w:r>
        <w:t>Investment</w:t>
      </w:r>
      <w:r w:rsidRPr="001424A2">
        <w:t xml:space="preserve"> </w:t>
      </w:r>
      <w:r>
        <w:t>category: 0.6%</w:t>
      </w:r>
    </w:p>
    <w:p w14:paraId="55A76C06" w14:textId="77777777" w:rsidR="00A579C1" w:rsidRDefault="00A579C1" w:rsidP="00796125">
      <w:pPr>
        <w:pStyle w:val="ListParagraph"/>
        <w:numPr>
          <w:ilvl w:val="0"/>
          <w:numId w:val="19"/>
        </w:numPr>
        <w:tabs>
          <w:tab w:val="left" w:pos="720"/>
        </w:tabs>
      </w:pPr>
      <w:r>
        <w:t>Profitability</w:t>
      </w:r>
      <w:r w:rsidRPr="001424A2">
        <w:t xml:space="preserve"> </w:t>
      </w:r>
      <w:r>
        <w:t>category: 0.71%</w:t>
      </w:r>
    </w:p>
    <w:p w14:paraId="12E808D6" w14:textId="77777777" w:rsidR="00A579C1" w:rsidRDefault="00A579C1" w:rsidP="00796125">
      <w:pPr>
        <w:pStyle w:val="ListParagraph"/>
        <w:numPr>
          <w:ilvl w:val="0"/>
          <w:numId w:val="19"/>
        </w:numPr>
        <w:tabs>
          <w:tab w:val="left" w:pos="720"/>
        </w:tabs>
      </w:pPr>
      <w:r>
        <w:t>Intangibles</w:t>
      </w:r>
      <w:r w:rsidRPr="001424A2">
        <w:t xml:space="preserve"> </w:t>
      </w:r>
      <w:r>
        <w:t>category: 1.08%</w:t>
      </w:r>
    </w:p>
    <w:p w14:paraId="6AA7A75F" w14:textId="77777777" w:rsidR="00A579C1" w:rsidRDefault="00A579C1" w:rsidP="00796125">
      <w:pPr>
        <w:pStyle w:val="ListParagraph"/>
        <w:numPr>
          <w:ilvl w:val="0"/>
          <w:numId w:val="19"/>
        </w:numPr>
        <w:tabs>
          <w:tab w:val="left" w:pos="720"/>
        </w:tabs>
      </w:pPr>
      <w:r>
        <w:t>Trading Frictions category: 0.14%</w:t>
      </w:r>
    </w:p>
    <w:p w14:paraId="413208AD" w14:textId="5F2F1E8E" w:rsidR="00751ACC" w:rsidRDefault="00751ACC" w:rsidP="00796125">
      <w:pPr>
        <w:tabs>
          <w:tab w:val="left" w:pos="720"/>
        </w:tabs>
      </w:pPr>
      <w:r>
        <w:t>Curiously, combining the four friction variables destroys their forecasting power.</w:t>
      </w:r>
      <w:r w:rsidR="00A579C1">
        <w:t xml:space="preserve"> </w:t>
      </w:r>
      <w:r>
        <w:t>In contrast, the low correlations among intangibles imply independent forecasting power for individual intangible anomalies, and taking the average rankings aggregates over the signals to produce a high average return spread.</w:t>
      </w:r>
    </w:p>
    <w:p w14:paraId="74E3EE8B" w14:textId="6743309F" w:rsidR="008E7334" w:rsidRDefault="00325435" w:rsidP="00796125">
      <w:pPr>
        <w:tabs>
          <w:tab w:val="left" w:pos="720"/>
        </w:tabs>
        <w:rPr>
          <w:b/>
          <w:bCs/>
        </w:rPr>
      </w:pPr>
      <w:r w:rsidRPr="008E7334">
        <w:rPr>
          <w:b/>
          <w:bCs/>
        </w:rPr>
        <w:t>Factor Correlations</w:t>
      </w:r>
      <w:r w:rsidR="00751ACC" w:rsidRPr="008E7334">
        <w:rPr>
          <w:b/>
          <w:bCs/>
        </w:rPr>
        <w:t xml:space="preserve"> </w:t>
      </w:r>
      <w:r w:rsidR="00751ACC" w:rsidRPr="00751ACC">
        <w:rPr>
          <w:b/>
          <w:bCs/>
        </w:rPr>
        <w:t xml:space="preserve">within Category: </w:t>
      </w:r>
    </w:p>
    <w:p w14:paraId="3CAEE4ED" w14:textId="35A4231D" w:rsidR="00751ACC" w:rsidRPr="008E7334" w:rsidRDefault="00751ACC" w:rsidP="00796125">
      <w:pPr>
        <w:tabs>
          <w:tab w:val="left" w:pos="720"/>
        </w:tabs>
        <w:rPr>
          <w:b/>
          <w:bCs/>
        </w:rPr>
      </w:pPr>
      <w:r>
        <w:t>Except for intangibles, anomalies within each category tend to be positively correlated and</w:t>
      </w:r>
      <w:r w:rsidR="00325435">
        <w:t xml:space="preserve"> are generally large</w:t>
      </w:r>
      <w:r>
        <w:t xml:space="preserve">. </w:t>
      </w:r>
    </w:p>
    <w:p w14:paraId="1C91377C" w14:textId="5F3F6488" w:rsidR="00751ACC" w:rsidRDefault="00751ACC" w:rsidP="00796125">
      <w:pPr>
        <w:pStyle w:val="ListParagraph"/>
        <w:numPr>
          <w:ilvl w:val="0"/>
          <w:numId w:val="19"/>
        </w:numPr>
        <w:tabs>
          <w:tab w:val="left" w:pos="720"/>
        </w:tabs>
      </w:pPr>
      <w:r>
        <w:t xml:space="preserve">Value correlation within category: </w:t>
      </w:r>
      <w:r>
        <w:tab/>
      </w:r>
      <w:r>
        <w:tab/>
        <w:t>0.42</w:t>
      </w:r>
    </w:p>
    <w:p w14:paraId="1E36D80E" w14:textId="1E00A62D" w:rsidR="00751ACC" w:rsidRDefault="00751ACC" w:rsidP="00796125">
      <w:pPr>
        <w:pStyle w:val="ListParagraph"/>
        <w:numPr>
          <w:ilvl w:val="0"/>
          <w:numId w:val="19"/>
        </w:numPr>
        <w:tabs>
          <w:tab w:val="left" w:pos="720"/>
        </w:tabs>
      </w:pPr>
      <w:r>
        <w:t xml:space="preserve">Trading frictions correlation within category: </w:t>
      </w:r>
      <w:r>
        <w:tab/>
        <w:t>0.42</w:t>
      </w:r>
    </w:p>
    <w:p w14:paraId="55D79953" w14:textId="39321AE2" w:rsidR="00751ACC" w:rsidRDefault="00751ACC" w:rsidP="00796125">
      <w:pPr>
        <w:pStyle w:val="ListParagraph"/>
        <w:numPr>
          <w:ilvl w:val="0"/>
          <w:numId w:val="19"/>
        </w:numPr>
        <w:tabs>
          <w:tab w:val="left" w:pos="720"/>
        </w:tabs>
      </w:pPr>
      <w:r>
        <w:t>Profitability</w:t>
      </w:r>
      <w:r w:rsidRPr="001424A2">
        <w:t xml:space="preserve"> </w:t>
      </w:r>
      <w:r>
        <w:t xml:space="preserve">correlation within category: </w:t>
      </w:r>
      <w:r>
        <w:tab/>
      </w:r>
      <w:r>
        <w:tab/>
        <w:t>0.39</w:t>
      </w:r>
    </w:p>
    <w:p w14:paraId="7BD05193" w14:textId="523E1DE0" w:rsidR="00751ACC" w:rsidRDefault="00751ACC" w:rsidP="00796125">
      <w:pPr>
        <w:pStyle w:val="ListParagraph"/>
        <w:numPr>
          <w:ilvl w:val="0"/>
          <w:numId w:val="19"/>
        </w:numPr>
        <w:tabs>
          <w:tab w:val="left" w:pos="720"/>
        </w:tabs>
      </w:pPr>
      <w:r>
        <w:t>Investment</w:t>
      </w:r>
      <w:r w:rsidRPr="001424A2">
        <w:t xml:space="preserve"> </w:t>
      </w:r>
      <w:r>
        <w:t>category</w:t>
      </w:r>
      <w:r w:rsidRPr="00751ACC">
        <w:t xml:space="preserve"> </w:t>
      </w:r>
      <w:r>
        <w:t xml:space="preserve">correlation within category: </w:t>
      </w:r>
      <w:r>
        <w:tab/>
        <w:t>0.32</w:t>
      </w:r>
    </w:p>
    <w:p w14:paraId="0AD9D2F1" w14:textId="7320CFB2" w:rsidR="00751ACC" w:rsidRDefault="00751ACC" w:rsidP="00796125">
      <w:pPr>
        <w:pStyle w:val="ListParagraph"/>
        <w:numPr>
          <w:ilvl w:val="0"/>
          <w:numId w:val="19"/>
        </w:numPr>
        <w:tabs>
          <w:tab w:val="left" w:pos="720"/>
        </w:tabs>
      </w:pPr>
      <w:r>
        <w:t>Momentum</w:t>
      </w:r>
      <w:r w:rsidRPr="001424A2">
        <w:t xml:space="preserve"> </w:t>
      </w:r>
      <w:r>
        <w:t xml:space="preserve">correlation within category: </w:t>
      </w:r>
      <w:r>
        <w:tab/>
      </w:r>
      <w:r>
        <w:tab/>
        <w:t>0.13</w:t>
      </w:r>
    </w:p>
    <w:p w14:paraId="0AB29E8E" w14:textId="2915B697" w:rsidR="00751ACC" w:rsidRDefault="00751ACC" w:rsidP="00796125">
      <w:pPr>
        <w:pStyle w:val="ListParagraph"/>
        <w:numPr>
          <w:ilvl w:val="0"/>
          <w:numId w:val="19"/>
        </w:numPr>
        <w:tabs>
          <w:tab w:val="left" w:pos="720"/>
        </w:tabs>
      </w:pPr>
      <w:r>
        <w:t>Intangibles</w:t>
      </w:r>
      <w:r w:rsidRPr="001424A2">
        <w:t xml:space="preserve"> </w:t>
      </w:r>
      <w:r>
        <w:t xml:space="preserve">correlation within category: </w:t>
      </w:r>
      <w:r>
        <w:tab/>
      </w:r>
      <w:r>
        <w:tab/>
        <w:t>0.07</w:t>
      </w:r>
    </w:p>
    <w:p w14:paraId="56974AA1" w14:textId="77777777" w:rsidR="008E7334" w:rsidRDefault="008E7334" w:rsidP="00796125">
      <w:pPr>
        <w:keepNext/>
        <w:keepLines/>
        <w:widowControl/>
        <w:tabs>
          <w:tab w:val="left" w:pos="720"/>
        </w:tabs>
        <w:rPr>
          <w:b/>
          <w:bCs/>
        </w:rPr>
      </w:pPr>
      <w:r w:rsidRPr="008E7334">
        <w:rPr>
          <w:b/>
          <w:bCs/>
        </w:rPr>
        <w:lastRenderedPageBreak/>
        <w:t xml:space="preserve">Factor </w:t>
      </w:r>
      <w:r w:rsidR="00751ACC" w:rsidRPr="00751ACC">
        <w:rPr>
          <w:b/>
          <w:bCs/>
        </w:rPr>
        <w:t xml:space="preserve">Correlation across </w:t>
      </w:r>
      <w:r w:rsidR="00751ACC">
        <w:rPr>
          <w:b/>
          <w:bCs/>
        </w:rPr>
        <w:t>C</w:t>
      </w:r>
      <w:r w:rsidR="00751ACC" w:rsidRPr="00751ACC">
        <w:rPr>
          <w:b/>
          <w:bCs/>
        </w:rPr>
        <w:t xml:space="preserve">ategories: </w:t>
      </w:r>
    </w:p>
    <w:p w14:paraId="0BFBEF4D" w14:textId="04B95FA7" w:rsidR="00751ACC" w:rsidRDefault="00751ACC" w:rsidP="00796125">
      <w:pPr>
        <w:keepNext/>
        <w:keepLines/>
        <w:widowControl/>
        <w:tabs>
          <w:tab w:val="left" w:pos="720"/>
        </w:tabs>
      </w:pPr>
      <w:r>
        <w:t>Correlations across factor categories</w:t>
      </w:r>
      <w:r w:rsidR="00325435">
        <w:t xml:space="preserve"> are close to zero</w:t>
      </w:r>
      <w:r>
        <w:t xml:space="preserve">. Notability, zero correlation between momentum &amp; value, momentum &amp; intangible, and momentum &amp; trading frictions.  </w:t>
      </w:r>
    </w:p>
    <w:tbl>
      <w:tblPr>
        <w:tblStyle w:val="ListTable7Colorful"/>
        <w:tblW w:w="0" w:type="auto"/>
        <w:tblCellMar>
          <w:left w:w="29" w:type="dxa"/>
          <w:right w:w="29" w:type="dxa"/>
        </w:tblCellMar>
        <w:tblLook w:val="06A0" w:firstRow="1" w:lastRow="0" w:firstColumn="1" w:lastColumn="0" w:noHBand="1" w:noVBand="1"/>
      </w:tblPr>
      <w:tblGrid>
        <w:gridCol w:w="1286"/>
        <w:gridCol w:w="1135"/>
        <w:gridCol w:w="1231"/>
        <w:gridCol w:w="1260"/>
        <w:gridCol w:w="1135"/>
        <w:gridCol w:w="1135"/>
      </w:tblGrid>
      <w:tr w:rsidR="00751ACC" w:rsidRPr="00751ACC" w14:paraId="0FE39007" w14:textId="77777777" w:rsidTr="00751ACC">
        <w:trPr>
          <w:cnfStyle w:val="100000000000" w:firstRow="1" w:lastRow="0" w:firstColumn="0" w:lastColumn="0" w:oddVBand="0" w:evenVBand="0" w:oddHBand="0" w:evenHBand="0" w:firstRowFirstColumn="0" w:firstRowLastColumn="0" w:lastRowFirstColumn="0" w:lastRowLastColumn="0"/>
          <w:trHeight w:val="334"/>
        </w:trPr>
        <w:tc>
          <w:tcPr>
            <w:cnfStyle w:val="001000000100" w:firstRow="0" w:lastRow="0" w:firstColumn="1" w:lastColumn="0" w:oddVBand="0" w:evenVBand="0" w:oddHBand="0" w:evenHBand="0" w:firstRowFirstColumn="1" w:firstRowLastColumn="0" w:lastRowFirstColumn="0" w:lastRowLastColumn="0"/>
            <w:tcW w:w="1286" w:type="dxa"/>
            <w:vAlign w:val="center"/>
          </w:tcPr>
          <w:p w14:paraId="6AE5C440" w14:textId="77777777" w:rsidR="00751ACC" w:rsidRPr="00751ACC" w:rsidRDefault="00751ACC" w:rsidP="00796125">
            <w:pPr>
              <w:keepNext/>
              <w:keepLines/>
              <w:widowControl/>
              <w:tabs>
                <w:tab w:val="left" w:pos="720"/>
              </w:tabs>
              <w:jc w:val="center"/>
              <w:rPr>
                <w:i w:val="0"/>
                <w:iCs w:val="0"/>
              </w:rPr>
            </w:pPr>
          </w:p>
        </w:tc>
        <w:tc>
          <w:tcPr>
            <w:tcW w:w="1135" w:type="dxa"/>
            <w:vAlign w:val="center"/>
          </w:tcPr>
          <w:p w14:paraId="16489060" w14:textId="1062408E" w:rsidR="00751ACC" w:rsidRPr="00751ACC" w:rsidRDefault="00751ACC" w:rsidP="00796125">
            <w:pPr>
              <w:keepNext/>
              <w:keepLines/>
              <w:widowControl/>
              <w:tabs>
                <w:tab w:val="left" w:pos="720"/>
              </w:tabs>
              <w:jc w:val="center"/>
              <w:cnfStyle w:val="100000000000" w:firstRow="1" w:lastRow="0" w:firstColumn="0" w:lastColumn="0" w:oddVBand="0" w:evenVBand="0" w:oddHBand="0" w:evenHBand="0" w:firstRowFirstColumn="0" w:firstRowLastColumn="0" w:lastRowFirstColumn="0" w:lastRowLastColumn="0"/>
              <w:rPr>
                <w:i w:val="0"/>
                <w:iCs w:val="0"/>
              </w:rPr>
            </w:pPr>
            <w:r w:rsidRPr="00751ACC">
              <w:rPr>
                <w:i w:val="0"/>
                <w:iCs w:val="0"/>
              </w:rPr>
              <w:t>Value</w:t>
            </w:r>
          </w:p>
        </w:tc>
        <w:tc>
          <w:tcPr>
            <w:tcW w:w="1231" w:type="dxa"/>
            <w:vAlign w:val="center"/>
          </w:tcPr>
          <w:p w14:paraId="78D77FC0" w14:textId="7DC6E3F4" w:rsidR="00751ACC" w:rsidRPr="00751ACC" w:rsidRDefault="00751ACC" w:rsidP="00796125">
            <w:pPr>
              <w:keepNext/>
              <w:keepLines/>
              <w:widowControl/>
              <w:tabs>
                <w:tab w:val="left" w:pos="720"/>
              </w:tabs>
              <w:jc w:val="center"/>
              <w:cnfStyle w:val="100000000000" w:firstRow="1" w:lastRow="0" w:firstColumn="0" w:lastColumn="0" w:oddVBand="0" w:evenVBand="0" w:oddHBand="0" w:evenHBand="0" w:firstRowFirstColumn="0" w:firstRowLastColumn="0" w:lastRowFirstColumn="0" w:lastRowLastColumn="0"/>
              <w:rPr>
                <w:i w:val="0"/>
                <w:iCs w:val="0"/>
              </w:rPr>
            </w:pPr>
            <w:r w:rsidRPr="00751ACC">
              <w:rPr>
                <w:i w:val="0"/>
                <w:iCs w:val="0"/>
              </w:rPr>
              <w:t>Investment</w:t>
            </w:r>
          </w:p>
        </w:tc>
        <w:tc>
          <w:tcPr>
            <w:tcW w:w="1260" w:type="dxa"/>
            <w:vAlign w:val="center"/>
          </w:tcPr>
          <w:p w14:paraId="7E4CD086" w14:textId="766D4C99" w:rsidR="00751ACC" w:rsidRPr="00751ACC" w:rsidRDefault="00751ACC" w:rsidP="00796125">
            <w:pPr>
              <w:keepNext/>
              <w:keepLines/>
              <w:widowControl/>
              <w:tabs>
                <w:tab w:val="left" w:pos="720"/>
              </w:tabs>
              <w:jc w:val="center"/>
              <w:cnfStyle w:val="100000000000" w:firstRow="1" w:lastRow="0" w:firstColumn="0" w:lastColumn="0" w:oddVBand="0" w:evenVBand="0" w:oddHBand="0" w:evenHBand="0" w:firstRowFirstColumn="0" w:firstRowLastColumn="0" w:lastRowFirstColumn="0" w:lastRowLastColumn="0"/>
              <w:rPr>
                <w:i w:val="0"/>
                <w:iCs w:val="0"/>
              </w:rPr>
            </w:pPr>
            <w:r w:rsidRPr="00751ACC">
              <w:rPr>
                <w:i w:val="0"/>
                <w:iCs w:val="0"/>
              </w:rPr>
              <w:t>Profitability</w:t>
            </w:r>
          </w:p>
        </w:tc>
        <w:tc>
          <w:tcPr>
            <w:tcW w:w="1135" w:type="dxa"/>
            <w:vAlign w:val="center"/>
          </w:tcPr>
          <w:p w14:paraId="63E8948C" w14:textId="17468A7F" w:rsidR="00751ACC" w:rsidRPr="00751ACC" w:rsidRDefault="00751ACC" w:rsidP="00796125">
            <w:pPr>
              <w:keepNext/>
              <w:keepLines/>
              <w:widowControl/>
              <w:tabs>
                <w:tab w:val="left" w:pos="720"/>
              </w:tabs>
              <w:jc w:val="center"/>
              <w:cnfStyle w:val="100000000000" w:firstRow="1" w:lastRow="0" w:firstColumn="0" w:lastColumn="0" w:oddVBand="0" w:evenVBand="0" w:oddHBand="0" w:evenHBand="0" w:firstRowFirstColumn="0" w:firstRowLastColumn="0" w:lastRowFirstColumn="0" w:lastRowLastColumn="0"/>
              <w:rPr>
                <w:i w:val="0"/>
                <w:iCs w:val="0"/>
              </w:rPr>
            </w:pPr>
            <w:r w:rsidRPr="00751ACC">
              <w:rPr>
                <w:i w:val="0"/>
                <w:iCs w:val="0"/>
              </w:rPr>
              <w:t>Intangible</w:t>
            </w:r>
          </w:p>
        </w:tc>
        <w:tc>
          <w:tcPr>
            <w:tcW w:w="1135" w:type="dxa"/>
            <w:vAlign w:val="center"/>
          </w:tcPr>
          <w:p w14:paraId="6C97A00A" w14:textId="0948FCEA" w:rsidR="00751ACC" w:rsidRPr="00751ACC" w:rsidRDefault="00751ACC" w:rsidP="00796125">
            <w:pPr>
              <w:keepNext/>
              <w:keepLines/>
              <w:widowControl/>
              <w:tabs>
                <w:tab w:val="left" w:pos="720"/>
              </w:tabs>
              <w:jc w:val="center"/>
              <w:cnfStyle w:val="100000000000" w:firstRow="1" w:lastRow="0" w:firstColumn="0" w:lastColumn="0" w:oddVBand="0" w:evenVBand="0" w:oddHBand="0" w:evenHBand="0" w:firstRowFirstColumn="0" w:firstRowLastColumn="0" w:lastRowFirstColumn="0" w:lastRowLastColumn="0"/>
              <w:rPr>
                <w:i w:val="0"/>
                <w:iCs w:val="0"/>
              </w:rPr>
            </w:pPr>
            <w:r w:rsidRPr="00751ACC">
              <w:rPr>
                <w:i w:val="0"/>
                <w:iCs w:val="0"/>
              </w:rPr>
              <w:t>Trading</w:t>
            </w:r>
          </w:p>
        </w:tc>
      </w:tr>
      <w:tr w:rsidR="00751ACC" w:rsidRPr="00751ACC" w14:paraId="61E372AB" w14:textId="77777777" w:rsidTr="00751ACC">
        <w:trPr>
          <w:trHeight w:val="32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281921B4" w14:textId="7AEC8FD3" w:rsidR="00751ACC" w:rsidRPr="00751ACC" w:rsidRDefault="00751ACC" w:rsidP="00796125">
            <w:pPr>
              <w:keepNext/>
              <w:keepLines/>
              <w:widowControl/>
              <w:tabs>
                <w:tab w:val="left" w:pos="720"/>
              </w:tabs>
              <w:jc w:val="center"/>
              <w:rPr>
                <w:i w:val="0"/>
                <w:iCs w:val="0"/>
              </w:rPr>
            </w:pPr>
            <w:r w:rsidRPr="00751ACC">
              <w:rPr>
                <w:i w:val="0"/>
                <w:iCs w:val="0"/>
              </w:rPr>
              <w:t>Momentum</w:t>
            </w:r>
          </w:p>
        </w:tc>
        <w:tc>
          <w:tcPr>
            <w:tcW w:w="1135" w:type="dxa"/>
            <w:vAlign w:val="center"/>
          </w:tcPr>
          <w:p w14:paraId="07FA7000" w14:textId="62D788B5"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0.00</w:t>
            </w:r>
          </w:p>
        </w:tc>
        <w:tc>
          <w:tcPr>
            <w:tcW w:w="1231" w:type="dxa"/>
            <w:vAlign w:val="center"/>
          </w:tcPr>
          <w:p w14:paraId="2DA7638D" w14:textId="67C4BE8D"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0.01</w:t>
            </w:r>
          </w:p>
        </w:tc>
        <w:tc>
          <w:tcPr>
            <w:tcW w:w="1260" w:type="dxa"/>
            <w:vAlign w:val="center"/>
          </w:tcPr>
          <w:p w14:paraId="09A2F0DE" w14:textId="154596F9"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0.05</w:t>
            </w:r>
          </w:p>
        </w:tc>
        <w:tc>
          <w:tcPr>
            <w:tcW w:w="1135" w:type="dxa"/>
            <w:vAlign w:val="center"/>
          </w:tcPr>
          <w:p w14:paraId="4AFF238E" w14:textId="4CB0B12D"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0.00</w:t>
            </w:r>
          </w:p>
        </w:tc>
        <w:tc>
          <w:tcPr>
            <w:tcW w:w="1135" w:type="dxa"/>
            <w:vAlign w:val="center"/>
          </w:tcPr>
          <w:p w14:paraId="3903CD30" w14:textId="0FC18354"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0.02</w:t>
            </w:r>
          </w:p>
        </w:tc>
      </w:tr>
      <w:tr w:rsidR="00751ACC" w:rsidRPr="00751ACC" w14:paraId="3EF1707A" w14:textId="77777777" w:rsidTr="00751ACC">
        <w:trPr>
          <w:trHeight w:val="334"/>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6DB2E7DB" w14:textId="13A146C7" w:rsidR="00751ACC" w:rsidRPr="00751ACC" w:rsidRDefault="00751ACC" w:rsidP="00796125">
            <w:pPr>
              <w:keepNext/>
              <w:keepLines/>
              <w:widowControl/>
              <w:tabs>
                <w:tab w:val="left" w:pos="720"/>
              </w:tabs>
              <w:jc w:val="center"/>
              <w:rPr>
                <w:i w:val="0"/>
                <w:iCs w:val="0"/>
              </w:rPr>
            </w:pPr>
            <w:r w:rsidRPr="00751ACC">
              <w:rPr>
                <w:i w:val="0"/>
                <w:iCs w:val="0"/>
              </w:rPr>
              <w:t>Value</w:t>
            </w:r>
          </w:p>
        </w:tc>
        <w:tc>
          <w:tcPr>
            <w:tcW w:w="1135" w:type="dxa"/>
            <w:vAlign w:val="center"/>
          </w:tcPr>
          <w:p w14:paraId="526DA97C" w14:textId="598C5E73"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w:t>
            </w:r>
          </w:p>
        </w:tc>
        <w:tc>
          <w:tcPr>
            <w:tcW w:w="1231" w:type="dxa"/>
            <w:vAlign w:val="center"/>
          </w:tcPr>
          <w:p w14:paraId="540BE9B0" w14:textId="6C531CDC"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0.08</w:t>
            </w:r>
          </w:p>
        </w:tc>
        <w:tc>
          <w:tcPr>
            <w:tcW w:w="1260" w:type="dxa"/>
            <w:vAlign w:val="center"/>
          </w:tcPr>
          <w:p w14:paraId="6810F780" w14:textId="274D4368"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0.05</w:t>
            </w:r>
          </w:p>
        </w:tc>
        <w:tc>
          <w:tcPr>
            <w:tcW w:w="1135" w:type="dxa"/>
            <w:vAlign w:val="center"/>
          </w:tcPr>
          <w:p w14:paraId="6DF3DF49" w14:textId="14651CCD"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0.01</w:t>
            </w:r>
          </w:p>
        </w:tc>
        <w:tc>
          <w:tcPr>
            <w:tcW w:w="1135" w:type="dxa"/>
            <w:vAlign w:val="center"/>
          </w:tcPr>
          <w:p w14:paraId="3FC9E20A" w14:textId="03C29420"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-0.01</w:t>
            </w:r>
          </w:p>
        </w:tc>
      </w:tr>
      <w:tr w:rsidR="00751ACC" w:rsidRPr="00751ACC" w14:paraId="3ADF939C" w14:textId="77777777" w:rsidTr="00751ACC">
        <w:trPr>
          <w:trHeight w:val="320"/>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4F74BFCD" w14:textId="107C4513" w:rsidR="00751ACC" w:rsidRPr="00751ACC" w:rsidRDefault="00751ACC" w:rsidP="00796125">
            <w:pPr>
              <w:keepNext/>
              <w:keepLines/>
              <w:widowControl/>
              <w:tabs>
                <w:tab w:val="left" w:pos="720"/>
              </w:tabs>
              <w:jc w:val="center"/>
              <w:rPr>
                <w:i w:val="0"/>
                <w:iCs w:val="0"/>
              </w:rPr>
            </w:pPr>
            <w:r w:rsidRPr="00751ACC">
              <w:rPr>
                <w:i w:val="0"/>
                <w:iCs w:val="0"/>
              </w:rPr>
              <w:t>Investment</w:t>
            </w:r>
          </w:p>
        </w:tc>
        <w:tc>
          <w:tcPr>
            <w:tcW w:w="1135" w:type="dxa"/>
            <w:vAlign w:val="center"/>
          </w:tcPr>
          <w:p w14:paraId="07E97CDB" w14:textId="77777777"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p>
        </w:tc>
        <w:tc>
          <w:tcPr>
            <w:tcW w:w="1231" w:type="dxa"/>
            <w:vAlign w:val="center"/>
          </w:tcPr>
          <w:p w14:paraId="23679CBA" w14:textId="7910559D"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w:t>
            </w:r>
          </w:p>
        </w:tc>
        <w:tc>
          <w:tcPr>
            <w:tcW w:w="1260" w:type="dxa"/>
            <w:vAlign w:val="center"/>
          </w:tcPr>
          <w:p w14:paraId="58F443C4" w14:textId="44E39165"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0.07</w:t>
            </w:r>
          </w:p>
        </w:tc>
        <w:tc>
          <w:tcPr>
            <w:tcW w:w="1135" w:type="dxa"/>
            <w:vAlign w:val="center"/>
          </w:tcPr>
          <w:p w14:paraId="2DD898E3" w14:textId="44BDA528"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0.02</w:t>
            </w:r>
          </w:p>
        </w:tc>
        <w:tc>
          <w:tcPr>
            <w:tcW w:w="1135" w:type="dxa"/>
            <w:vAlign w:val="center"/>
          </w:tcPr>
          <w:p w14:paraId="696DF868" w14:textId="0AF36CF3"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0.01</w:t>
            </w:r>
          </w:p>
        </w:tc>
      </w:tr>
      <w:tr w:rsidR="00751ACC" w:rsidRPr="00751ACC" w14:paraId="0CF0AADC" w14:textId="77777777" w:rsidTr="00751ACC">
        <w:trPr>
          <w:trHeight w:val="334"/>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2E2E9BBE" w14:textId="662A0F0B" w:rsidR="00751ACC" w:rsidRPr="00751ACC" w:rsidRDefault="00751ACC" w:rsidP="00796125">
            <w:pPr>
              <w:keepNext/>
              <w:keepLines/>
              <w:widowControl/>
              <w:tabs>
                <w:tab w:val="left" w:pos="720"/>
              </w:tabs>
              <w:jc w:val="center"/>
              <w:rPr>
                <w:i w:val="0"/>
                <w:iCs w:val="0"/>
              </w:rPr>
            </w:pPr>
            <w:r w:rsidRPr="00751ACC">
              <w:rPr>
                <w:i w:val="0"/>
                <w:iCs w:val="0"/>
              </w:rPr>
              <w:t>Profitability</w:t>
            </w:r>
          </w:p>
        </w:tc>
        <w:tc>
          <w:tcPr>
            <w:tcW w:w="1135" w:type="dxa"/>
            <w:vAlign w:val="center"/>
          </w:tcPr>
          <w:p w14:paraId="6A3E3A25" w14:textId="77777777"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p>
        </w:tc>
        <w:tc>
          <w:tcPr>
            <w:tcW w:w="1231" w:type="dxa"/>
            <w:vAlign w:val="center"/>
          </w:tcPr>
          <w:p w14:paraId="70499B8B" w14:textId="77777777"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p>
        </w:tc>
        <w:tc>
          <w:tcPr>
            <w:tcW w:w="1260" w:type="dxa"/>
            <w:vAlign w:val="center"/>
          </w:tcPr>
          <w:p w14:paraId="52E1183C" w14:textId="02B16133"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w:t>
            </w:r>
          </w:p>
        </w:tc>
        <w:tc>
          <w:tcPr>
            <w:tcW w:w="1135" w:type="dxa"/>
            <w:vAlign w:val="center"/>
          </w:tcPr>
          <w:p w14:paraId="206B8FA3" w14:textId="26EA0C6D"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0.02</w:t>
            </w:r>
          </w:p>
        </w:tc>
        <w:tc>
          <w:tcPr>
            <w:tcW w:w="1135" w:type="dxa"/>
            <w:vAlign w:val="center"/>
          </w:tcPr>
          <w:p w14:paraId="597231E3" w14:textId="77777777"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p>
        </w:tc>
      </w:tr>
      <w:tr w:rsidR="00751ACC" w:rsidRPr="00751ACC" w14:paraId="1D229C6F" w14:textId="77777777" w:rsidTr="00751ACC">
        <w:trPr>
          <w:trHeight w:val="334"/>
        </w:trPr>
        <w:tc>
          <w:tcPr>
            <w:cnfStyle w:val="001000000000" w:firstRow="0" w:lastRow="0" w:firstColumn="1" w:lastColumn="0" w:oddVBand="0" w:evenVBand="0" w:oddHBand="0" w:evenHBand="0" w:firstRowFirstColumn="0" w:firstRowLastColumn="0" w:lastRowFirstColumn="0" w:lastRowLastColumn="0"/>
            <w:tcW w:w="1286" w:type="dxa"/>
            <w:vAlign w:val="center"/>
          </w:tcPr>
          <w:p w14:paraId="07D761CA" w14:textId="2D4FDD6A" w:rsidR="00751ACC" w:rsidRPr="00751ACC" w:rsidRDefault="00751ACC" w:rsidP="00796125">
            <w:pPr>
              <w:keepNext/>
              <w:keepLines/>
              <w:widowControl/>
              <w:tabs>
                <w:tab w:val="left" w:pos="720"/>
              </w:tabs>
              <w:jc w:val="center"/>
              <w:rPr>
                <w:i w:val="0"/>
                <w:iCs w:val="0"/>
              </w:rPr>
            </w:pPr>
            <w:r w:rsidRPr="00751ACC">
              <w:rPr>
                <w:i w:val="0"/>
                <w:iCs w:val="0"/>
              </w:rPr>
              <w:t>Intangible</w:t>
            </w:r>
          </w:p>
        </w:tc>
        <w:tc>
          <w:tcPr>
            <w:tcW w:w="1135" w:type="dxa"/>
            <w:vAlign w:val="center"/>
          </w:tcPr>
          <w:p w14:paraId="6235A2E8" w14:textId="77777777"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p>
        </w:tc>
        <w:tc>
          <w:tcPr>
            <w:tcW w:w="1231" w:type="dxa"/>
            <w:vAlign w:val="center"/>
          </w:tcPr>
          <w:p w14:paraId="3EB77F50" w14:textId="77777777"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p>
        </w:tc>
        <w:tc>
          <w:tcPr>
            <w:tcW w:w="1260" w:type="dxa"/>
            <w:vAlign w:val="center"/>
          </w:tcPr>
          <w:p w14:paraId="209C0285" w14:textId="77777777"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p>
        </w:tc>
        <w:tc>
          <w:tcPr>
            <w:tcW w:w="1135" w:type="dxa"/>
            <w:vAlign w:val="center"/>
          </w:tcPr>
          <w:p w14:paraId="1C1975B8" w14:textId="69EA8A10"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w:t>
            </w:r>
          </w:p>
        </w:tc>
        <w:tc>
          <w:tcPr>
            <w:tcW w:w="1135" w:type="dxa"/>
            <w:vAlign w:val="center"/>
          </w:tcPr>
          <w:p w14:paraId="17C5DFAD" w14:textId="38AB27B5" w:rsidR="00751ACC" w:rsidRPr="00751ACC" w:rsidRDefault="00751ACC" w:rsidP="00796125">
            <w:pPr>
              <w:keepNext/>
              <w:keepLines/>
              <w:widowControl/>
              <w:tabs>
                <w:tab w:val="left" w:pos="720"/>
              </w:tabs>
              <w:jc w:val="center"/>
              <w:cnfStyle w:val="000000000000" w:firstRow="0" w:lastRow="0" w:firstColumn="0" w:lastColumn="0" w:oddVBand="0" w:evenVBand="0" w:oddHBand="0" w:evenHBand="0" w:firstRowFirstColumn="0" w:firstRowLastColumn="0" w:lastRowFirstColumn="0" w:lastRowLastColumn="0"/>
            </w:pPr>
            <w:r w:rsidRPr="00751ACC">
              <w:t>0.02</w:t>
            </w:r>
          </w:p>
        </w:tc>
      </w:tr>
    </w:tbl>
    <w:p w14:paraId="660654ED" w14:textId="411D37A0" w:rsidR="00472AE6" w:rsidRPr="002C3B5D" w:rsidRDefault="00472AE6" w:rsidP="00796125">
      <w:pPr>
        <w:pStyle w:val="Heading2"/>
        <w:tabs>
          <w:tab w:val="left" w:pos="720"/>
        </w:tabs>
      </w:pPr>
      <w:r w:rsidRPr="002C3B5D">
        <w:t>Technical Notes:</w:t>
      </w:r>
    </w:p>
    <w:p w14:paraId="0258DC2D" w14:textId="051D8191" w:rsidR="00472AE6" w:rsidRDefault="00472AE6" w:rsidP="00796125">
      <w:pPr>
        <w:pStyle w:val="ListParagraph"/>
        <w:numPr>
          <w:ilvl w:val="0"/>
          <w:numId w:val="7"/>
        </w:numPr>
        <w:tabs>
          <w:tab w:val="left" w:pos="720"/>
        </w:tabs>
      </w:pPr>
      <w:r>
        <w:t>The sample data is from January 1967 to December 2014</w:t>
      </w:r>
      <w:r w:rsidR="00A42DB6">
        <w:t>, a time period of 576 Months</w:t>
      </w:r>
      <w:r>
        <w:t>. Financial firms and firms with negative book equity are excluded.</w:t>
      </w:r>
    </w:p>
    <w:p w14:paraId="3A6E8BD5" w14:textId="787CC7B5" w:rsidR="00472AE6" w:rsidRDefault="00472AE6" w:rsidP="00796125">
      <w:pPr>
        <w:pStyle w:val="ListParagraph"/>
        <w:numPr>
          <w:ilvl w:val="0"/>
          <w:numId w:val="7"/>
        </w:numPr>
        <w:tabs>
          <w:tab w:val="left" w:pos="720"/>
        </w:tabs>
      </w:pPr>
      <w:r>
        <w:t>For monthly sorted portfolios involving quarterly accounting data other than earnings, they impose a four-month lag between the fiscal quarter end and subsequent stock returns. Unlike earnings, other quarterly items are typically not available upon earnings announcement dates. Many firms announce their earnings for a given quarter through a press release, and then file SEC reports several weeks later.</w:t>
      </w:r>
    </w:p>
    <w:p w14:paraId="509C7A0D" w14:textId="66F00931" w:rsidR="00472AE6" w:rsidRDefault="00472AE6" w:rsidP="00796125">
      <w:pPr>
        <w:pStyle w:val="ListParagraph"/>
        <w:keepNext/>
        <w:numPr>
          <w:ilvl w:val="0"/>
          <w:numId w:val="7"/>
        </w:numPr>
        <w:tabs>
          <w:tab w:val="left" w:pos="720"/>
        </w:tabs>
      </w:pPr>
      <w:r>
        <w:t xml:space="preserve">Many studies also equal-weight portfolio returns. </w:t>
      </w:r>
      <w:r w:rsidR="00A42DB6">
        <w:t xml:space="preserve">They </w:t>
      </w:r>
      <w:r>
        <w:t>instead use value-weights. First, value-weights more accurately reflect the wealth effect experienced by investors, as emphasized by Fama (1998). Second, Fama and French (2008) document that microcaps are influential in equal-weighted returns. Microcaps are stocks with the market equity below the 20th percentile of NYSE stocks. Microcaps are on average only 3% of the market value of the NYSE-Amex-NASDAQ universe, but account for about 60% of the total number of stocks.</w:t>
      </w:r>
    </w:p>
    <w:p w14:paraId="4A931745" w14:textId="69077DB8" w:rsidR="00A0623C" w:rsidRPr="00215DAA" w:rsidRDefault="0050509F" w:rsidP="00796125">
      <w:pPr>
        <w:pStyle w:val="Heading2"/>
        <w:tabs>
          <w:tab w:val="left" w:pos="720"/>
        </w:tabs>
      </w:pPr>
      <w:r>
        <w:t xml:space="preserve">Select Momentum </w:t>
      </w:r>
      <w:r w:rsidR="00A0623C" w:rsidRPr="00215DAA">
        <w:t>Anomalies</w:t>
      </w:r>
    </w:p>
    <w:p w14:paraId="08A701C0" w14:textId="77777777" w:rsidR="0014577F" w:rsidRDefault="0014577F" w:rsidP="00796125">
      <w:pPr>
        <w:pStyle w:val="Heading3"/>
        <w:tabs>
          <w:tab w:val="left" w:pos="720"/>
        </w:tabs>
      </w:pPr>
      <w:r>
        <w:t>Background</w:t>
      </w:r>
    </w:p>
    <w:p w14:paraId="20A18ACD" w14:textId="77777777" w:rsidR="0062097C" w:rsidRDefault="00A0623C" w:rsidP="00796125">
      <w:pPr>
        <w:tabs>
          <w:tab w:val="left" w:pos="720"/>
        </w:tabs>
        <w:spacing w:before="60"/>
      </w:pPr>
      <w:r>
        <w:t>Momentum is using a security’s own historical price performance to dictate investments. While momentum is perhaps the oldest and most successful investment style in the hedge fund industry, it also has been widely studied in academia and proved to be a robust and statistically significant driver of performance.</w:t>
      </w:r>
      <w:r w:rsidR="0062097C">
        <w:t xml:space="preserve"> </w:t>
      </w:r>
    </w:p>
    <w:p w14:paraId="2680EF5B" w14:textId="39AAF196" w:rsidR="0062097C" w:rsidRPr="006E7EFF" w:rsidRDefault="0062097C" w:rsidP="00796125">
      <w:pPr>
        <w:tabs>
          <w:tab w:val="left" w:pos="720"/>
        </w:tabs>
        <w:spacing w:before="60"/>
      </w:pPr>
      <w:r w:rsidRPr="006E7EFF">
        <w:t xml:space="preserve">While there were </w:t>
      </w:r>
      <w:r w:rsidRPr="00F33FC0">
        <w:rPr>
          <w:b/>
          <w:bCs/>
        </w:rPr>
        <w:t xml:space="preserve">37 significant momentum anomalies </w:t>
      </w:r>
      <w:r w:rsidRPr="006E7EFF">
        <w:t xml:space="preserve">in the paper, we are only going to analyze </w:t>
      </w:r>
      <w:r w:rsidR="006E7EFF" w:rsidRPr="006E7EFF">
        <w:t>a handful in greater detail</w:t>
      </w:r>
      <w:r w:rsidR="0036673D">
        <w:t>. Primarily those with very high t-tests or high average returns</w:t>
      </w:r>
    </w:p>
    <w:p w14:paraId="5A39D91E" w14:textId="35F9B6E5" w:rsidR="002E4FAF" w:rsidRDefault="002E4FAF" w:rsidP="00796125">
      <w:pPr>
        <w:pStyle w:val="ListParagraph"/>
        <w:numPr>
          <w:ilvl w:val="0"/>
          <w:numId w:val="20"/>
        </w:numPr>
        <w:tabs>
          <w:tab w:val="left" w:pos="720"/>
        </w:tabs>
        <w:spacing w:before="60"/>
      </w:pPr>
      <w:r>
        <w:t>Cumulative abnormal stock returns</w:t>
      </w:r>
      <w:r w:rsidRPr="002E4FAF">
        <w:t xml:space="preserve"> </w:t>
      </w:r>
      <w:r>
        <w:t>around earnings announcements</w:t>
      </w:r>
    </w:p>
    <w:p w14:paraId="207DFE39" w14:textId="7A712F1C" w:rsidR="0036673D" w:rsidRDefault="002E4FAF" w:rsidP="00796125">
      <w:pPr>
        <w:pStyle w:val="ListParagraph"/>
        <w:numPr>
          <w:ilvl w:val="0"/>
          <w:numId w:val="20"/>
        </w:numPr>
        <w:tabs>
          <w:tab w:val="left" w:pos="720"/>
        </w:tabs>
        <w:spacing w:before="60"/>
      </w:pPr>
      <w:r>
        <w:t xml:space="preserve">Revisions in Analyst Earnings Forecasts </w:t>
      </w:r>
    </w:p>
    <w:p w14:paraId="1241958B" w14:textId="6DD05DB9" w:rsidR="0036673D" w:rsidRDefault="00F33FC0" w:rsidP="00796125">
      <w:pPr>
        <w:pStyle w:val="ListParagraph"/>
        <w:numPr>
          <w:ilvl w:val="0"/>
          <w:numId w:val="20"/>
        </w:numPr>
        <w:tabs>
          <w:tab w:val="left" w:pos="720"/>
        </w:tabs>
        <w:spacing w:before="60"/>
      </w:pPr>
      <w:r>
        <w:t xml:space="preserve">Price Momentum over </w:t>
      </w:r>
      <w:r w:rsidR="0036673D">
        <w:t>Six-</w:t>
      </w:r>
      <w:r>
        <w:t xml:space="preserve"> and</w:t>
      </w:r>
      <w:r w:rsidR="0036673D">
        <w:t xml:space="preserve"> 11-month </w:t>
      </w:r>
      <w:r>
        <w:t>Returns.</w:t>
      </w:r>
    </w:p>
    <w:p w14:paraId="36F87170" w14:textId="651E014F" w:rsidR="006E7EFF" w:rsidRDefault="006E7EFF" w:rsidP="00796125">
      <w:pPr>
        <w:pStyle w:val="ListParagraph"/>
        <w:numPr>
          <w:ilvl w:val="0"/>
          <w:numId w:val="20"/>
        </w:numPr>
        <w:tabs>
          <w:tab w:val="left" w:pos="720"/>
        </w:tabs>
        <w:spacing w:before="60"/>
      </w:pPr>
      <w:r>
        <w:t>Industry Momentum</w:t>
      </w:r>
    </w:p>
    <w:p w14:paraId="3F2C736A" w14:textId="1A22753D" w:rsidR="006E7EFF" w:rsidRDefault="006E7EFF" w:rsidP="00796125">
      <w:pPr>
        <w:pStyle w:val="ListParagraph"/>
        <w:numPr>
          <w:ilvl w:val="0"/>
          <w:numId w:val="20"/>
        </w:numPr>
        <w:tabs>
          <w:tab w:val="left" w:pos="720"/>
        </w:tabs>
        <w:spacing w:before="60"/>
      </w:pPr>
      <w:r>
        <w:t xml:space="preserve">Analysts’ forecast change </w:t>
      </w:r>
    </w:p>
    <w:p w14:paraId="7C0D53C5" w14:textId="643CC1AE" w:rsidR="0036673D" w:rsidRDefault="0036673D" w:rsidP="00796125">
      <w:pPr>
        <w:pStyle w:val="ListParagraph"/>
        <w:numPr>
          <w:ilvl w:val="0"/>
          <w:numId w:val="20"/>
        </w:numPr>
        <w:tabs>
          <w:tab w:val="left" w:pos="720"/>
        </w:tabs>
        <w:spacing w:before="60"/>
      </w:pPr>
      <w:r>
        <w:t>Number of Quarters with Consecutive Earnings Increases</w:t>
      </w:r>
    </w:p>
    <w:p w14:paraId="71BE1F06" w14:textId="1D668D08" w:rsidR="0036673D" w:rsidRDefault="0036673D" w:rsidP="00796125">
      <w:pPr>
        <w:pStyle w:val="ListParagraph"/>
        <w:numPr>
          <w:ilvl w:val="0"/>
          <w:numId w:val="20"/>
        </w:numPr>
        <w:tabs>
          <w:tab w:val="left" w:pos="720"/>
        </w:tabs>
        <w:spacing w:before="60"/>
      </w:pPr>
      <w:r>
        <w:t>52 Week High</w:t>
      </w:r>
    </w:p>
    <w:p w14:paraId="6C7428A4" w14:textId="4A64FDAB" w:rsidR="002E4FAF" w:rsidRDefault="000B0589" w:rsidP="00796125">
      <w:pPr>
        <w:pStyle w:val="ListParagraph"/>
        <w:numPr>
          <w:ilvl w:val="0"/>
          <w:numId w:val="20"/>
        </w:numPr>
        <w:tabs>
          <w:tab w:val="left" w:pos="720"/>
        </w:tabs>
        <w:spacing w:before="60"/>
      </w:pPr>
      <w:r>
        <w:t>Residual Momentum</w:t>
      </w:r>
      <w:r w:rsidR="00F123E5">
        <w:t xml:space="preserve"> – Returns unexplained by Fama French 3-Factor model</w:t>
      </w:r>
    </w:p>
    <w:p w14:paraId="20A285AF" w14:textId="77777777" w:rsidR="0036673D" w:rsidRDefault="0036673D" w:rsidP="00796125">
      <w:pPr>
        <w:pStyle w:val="Heading3"/>
        <w:keepNext/>
        <w:widowControl/>
        <w:tabs>
          <w:tab w:val="left" w:pos="720"/>
        </w:tabs>
      </w:pPr>
      <w:r>
        <w:lastRenderedPageBreak/>
        <w:t>Cumulative abnormal stock returns</w:t>
      </w:r>
      <w:r w:rsidRPr="002E4FAF">
        <w:t xml:space="preserve"> </w:t>
      </w:r>
      <w:r>
        <w:t>around earnings announcements</w:t>
      </w:r>
    </w:p>
    <w:p w14:paraId="15EF60BF" w14:textId="77777777" w:rsidR="0036673D" w:rsidRDefault="0036673D" w:rsidP="00796125">
      <w:pPr>
        <w:pStyle w:val="NoSpacing"/>
        <w:tabs>
          <w:tab w:val="left" w:pos="720"/>
        </w:tabs>
        <w:spacing w:before="120"/>
      </w:pPr>
      <w:r>
        <w:t>We calculate cumulative abnormal stock return (</w:t>
      </w:r>
      <w:proofErr w:type="spellStart"/>
      <w:r>
        <w:t>Abr</w:t>
      </w:r>
      <w:proofErr w:type="spellEnd"/>
      <w:r>
        <w:t>) around the latest quarterly earnings announcement date (</w:t>
      </w:r>
      <w:proofErr w:type="spellStart"/>
      <w:r>
        <w:t>Compustat</w:t>
      </w:r>
      <w:proofErr w:type="spellEnd"/>
      <w:r>
        <w:t xml:space="preserve"> quarterly item RDQ) (Chan, </w:t>
      </w:r>
      <w:proofErr w:type="spellStart"/>
      <w:r>
        <w:t>Jegadeesh</w:t>
      </w:r>
      <w:proofErr w:type="spellEnd"/>
      <w:r>
        <w:t xml:space="preserve">, and </w:t>
      </w:r>
      <w:proofErr w:type="spellStart"/>
      <w:r>
        <w:t>Lakonishok</w:t>
      </w:r>
      <w:proofErr w:type="spellEnd"/>
      <w:r>
        <w:t xml:space="preserve"> 1996)):</w:t>
      </w:r>
    </w:p>
    <w:p w14:paraId="1B5F2E85" w14:textId="77777777" w:rsidR="0036673D" w:rsidRDefault="0036673D" w:rsidP="00796125">
      <w:pPr>
        <w:tabs>
          <w:tab w:val="left" w:pos="720"/>
        </w:tabs>
        <w:jc w:val="center"/>
      </w:pPr>
      <w:r w:rsidRPr="002E4FAF">
        <w:rPr>
          <w:noProof/>
        </w:rPr>
        <w:drawing>
          <wp:inline distT="0" distB="0" distL="0" distR="0" wp14:anchorId="579006DE" wp14:editId="4B645EFF">
            <wp:extent cx="1915200" cy="792738"/>
            <wp:effectExtent l="0" t="0" r="8890" b="7620"/>
            <wp:docPr id="2" name="Picture 2"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hematic&#10;&#10;Description automatically generated with medium confidence"/>
                    <pic:cNvPicPr/>
                  </pic:nvPicPr>
                  <pic:blipFill>
                    <a:blip r:embed="rId14"/>
                    <a:stretch>
                      <a:fillRect/>
                    </a:stretch>
                  </pic:blipFill>
                  <pic:spPr>
                    <a:xfrm>
                      <a:off x="0" y="0"/>
                      <a:ext cx="1936989" cy="801757"/>
                    </a:xfrm>
                    <a:prstGeom prst="rect">
                      <a:avLst/>
                    </a:prstGeom>
                  </pic:spPr>
                </pic:pic>
              </a:graphicData>
            </a:graphic>
          </wp:inline>
        </w:drawing>
      </w:r>
    </w:p>
    <w:p w14:paraId="2D886176" w14:textId="77777777" w:rsidR="0036673D" w:rsidRDefault="0036673D" w:rsidP="00796125">
      <w:pPr>
        <w:tabs>
          <w:tab w:val="left" w:pos="720"/>
        </w:tabs>
      </w:pPr>
      <w:r>
        <w:t xml:space="preserve">in which rid is stock i’s return on day d (with the earnings announced on day 0) and </w:t>
      </w:r>
      <w:proofErr w:type="spellStart"/>
      <w:r>
        <w:t>rmd</w:t>
      </w:r>
      <w:proofErr w:type="spellEnd"/>
      <w:r>
        <w:t xml:space="preserve"> is the market index return. We cumulate returns until one (trading) day after the announcement date to account for the one-day-delayed reaction to earnings news. </w:t>
      </w:r>
      <w:proofErr w:type="spellStart"/>
      <w:r>
        <w:t>rmd</w:t>
      </w:r>
      <w:proofErr w:type="spellEnd"/>
      <w:r>
        <w:t xml:space="preserve"> is the value-weighted market return for the </w:t>
      </w:r>
      <w:proofErr w:type="spellStart"/>
      <w:r>
        <w:t>Abr</w:t>
      </w:r>
      <w:proofErr w:type="spellEnd"/>
      <w:r>
        <w:t xml:space="preserve"> deciles with NYSE breakpoints and value-weighted returns, but is the equal-weighted market return with all-but-micro breakpoints and equal-weighted returns.</w:t>
      </w:r>
    </w:p>
    <w:p w14:paraId="640FA7BC" w14:textId="77777777" w:rsidR="0036673D" w:rsidRDefault="0036673D" w:rsidP="00796125">
      <w:pPr>
        <w:tabs>
          <w:tab w:val="left" w:pos="720"/>
        </w:tabs>
      </w:pPr>
      <w:r>
        <w:t xml:space="preserve">At the beginning of each month t, we split all stocks into deciles based on their most recent past Abr. For a firm to enter our portfolio formation, we require the end of the fiscal quarter that corresponds to its most recent </w:t>
      </w:r>
      <w:proofErr w:type="spellStart"/>
      <w:r>
        <w:t>Abr</w:t>
      </w:r>
      <w:proofErr w:type="spellEnd"/>
      <w:r>
        <w:t xml:space="preserve"> to be within six months prior to the portfolio formation. We do so to exclude stale information on earnings. To avoid potentially erroneous records, we also require the earnings announcement date to be after the corresponding fiscal quarter end. Monthly decile returns are calculated for the current month t (Abr1), and, separately, from month t to t+ 5 (Abr6) and from month t to t + 11 (Abr12). The deciles are rebalanced monthly. The six-month holding period for Abr6 means that for a given decile in each month there exist six sub-deciles, each of which is initiated in a different month in the prior six-month period. We take the simple average of the sub-decile returns as the monthly return of the Abr6 decile. Because quarterly earnings announcement dates are largely unavailable before 1972, the </w:t>
      </w:r>
      <w:proofErr w:type="spellStart"/>
      <w:r>
        <w:t>Abr</w:t>
      </w:r>
      <w:proofErr w:type="spellEnd"/>
      <w:r>
        <w:t xml:space="preserve"> portfolios start in January 1972.</w:t>
      </w:r>
    </w:p>
    <w:p w14:paraId="47A2B628" w14:textId="77777777" w:rsidR="0036673D" w:rsidRDefault="0036673D" w:rsidP="00796125">
      <w:pPr>
        <w:tabs>
          <w:tab w:val="left" w:pos="720"/>
        </w:tabs>
        <w:ind w:left="360"/>
      </w:pPr>
      <w:r>
        <w:t>Abr1 =</w:t>
      </w:r>
      <w:r w:rsidRPr="002E4FAF">
        <w:t xml:space="preserve"> </w:t>
      </w:r>
      <w:r w:rsidRPr="007C63F3">
        <w:t>One Month Holding Period 0.</w:t>
      </w:r>
      <w:r>
        <w:t>74</w:t>
      </w:r>
      <w:r w:rsidRPr="007C63F3">
        <w:t xml:space="preserve">% average monthly return with </w:t>
      </w:r>
      <w:r>
        <w:t>5.85</w:t>
      </w:r>
      <w:r w:rsidRPr="007C63F3">
        <w:t xml:space="preserve"> t-statistic</w:t>
      </w:r>
    </w:p>
    <w:p w14:paraId="4832F4B9" w14:textId="77777777" w:rsidR="0036673D" w:rsidRDefault="0036673D" w:rsidP="00796125">
      <w:pPr>
        <w:tabs>
          <w:tab w:val="left" w:pos="720"/>
        </w:tabs>
        <w:ind w:left="360"/>
      </w:pPr>
      <w:r>
        <w:t xml:space="preserve">Abr6 </w:t>
      </w:r>
      <w:r w:rsidRPr="007C63F3">
        <w:t>= Six Month Holding Period 0.</w:t>
      </w:r>
      <w:r>
        <w:t>30</w:t>
      </w:r>
      <w:r w:rsidRPr="007C63F3">
        <w:t xml:space="preserve"> % average monthly return with</w:t>
      </w:r>
      <w:r>
        <w:t xml:space="preserve"> 3.24</w:t>
      </w:r>
      <w:r w:rsidRPr="007C63F3">
        <w:t xml:space="preserve"> t-statistic</w:t>
      </w:r>
    </w:p>
    <w:p w14:paraId="65E32F07" w14:textId="77777777" w:rsidR="0036673D" w:rsidRPr="002E4FAF" w:rsidRDefault="0036673D" w:rsidP="00796125">
      <w:pPr>
        <w:tabs>
          <w:tab w:val="left" w:pos="720"/>
        </w:tabs>
        <w:ind w:left="360"/>
      </w:pPr>
      <w:r>
        <w:t xml:space="preserve">Abr12 </w:t>
      </w:r>
      <w:r w:rsidRPr="007C63F3">
        <w:t>= Twelve Month Holding Period</w:t>
      </w:r>
      <w:r w:rsidRPr="007C63F3">
        <w:rPr>
          <w:b/>
          <w:bCs/>
        </w:rPr>
        <w:t xml:space="preserve"> </w:t>
      </w:r>
      <w:r w:rsidRPr="007C63F3">
        <w:t>0.</w:t>
      </w:r>
      <w:r>
        <w:t>22</w:t>
      </w:r>
      <w:r w:rsidRPr="007C63F3">
        <w:t xml:space="preserve">% average monthly return with </w:t>
      </w:r>
      <w:r>
        <w:t>2.84</w:t>
      </w:r>
      <w:r w:rsidRPr="007C63F3">
        <w:t xml:space="preserve"> t-statistic</w:t>
      </w:r>
    </w:p>
    <w:p w14:paraId="3FA8F2EF" w14:textId="77777777" w:rsidR="00F123E5" w:rsidRDefault="00F123E5" w:rsidP="00796125">
      <w:pPr>
        <w:pStyle w:val="Heading3"/>
        <w:keepNext/>
        <w:widowControl/>
        <w:tabs>
          <w:tab w:val="left" w:pos="720"/>
        </w:tabs>
      </w:pPr>
      <w:r>
        <w:t>Revisions in Analyst Earnings Forecasts</w:t>
      </w:r>
    </w:p>
    <w:p w14:paraId="54DBE757" w14:textId="443B3569" w:rsidR="00D3223C" w:rsidRDefault="00D3223C" w:rsidP="00796125">
      <w:pPr>
        <w:tabs>
          <w:tab w:val="left" w:pos="720"/>
        </w:tabs>
        <w:spacing w:before="60"/>
      </w:pPr>
      <w:r>
        <w:t>The high-minus-low deciles on revisions in analysts’ earnings forecasts (Re) earn 0.54% (t = 2.49) and 0.28% (t = 1.47, Table 3) at the 6- and 12-month, which are lower than the buy-and-hold returns of 7.7% and 9.7% over the same horizons reported in Chan et al., respectively.</w:t>
      </w:r>
    </w:p>
    <w:p w14:paraId="61280E86" w14:textId="355374FC" w:rsidR="0036673D" w:rsidRDefault="0036673D" w:rsidP="00796125">
      <w:pPr>
        <w:pStyle w:val="Heading3"/>
        <w:keepNext/>
        <w:widowControl/>
        <w:tabs>
          <w:tab w:val="left" w:pos="720"/>
        </w:tabs>
      </w:pPr>
      <w:r>
        <w:t xml:space="preserve">Prior </w:t>
      </w:r>
      <w:r w:rsidR="00F123E5">
        <w:t xml:space="preserve">6-month and 11-month </w:t>
      </w:r>
      <w:r w:rsidR="001C7575">
        <w:t>Returns</w:t>
      </w:r>
    </w:p>
    <w:p w14:paraId="63807E10" w14:textId="48953371" w:rsidR="00D3223C" w:rsidRDefault="00D3223C" w:rsidP="00796125">
      <w:pPr>
        <w:tabs>
          <w:tab w:val="left" w:pos="720"/>
        </w:tabs>
      </w:pPr>
      <w:r w:rsidRPr="00D3223C">
        <w:rPr>
          <w:b/>
          <w:bCs/>
        </w:rPr>
        <w:t>Summary:</w:t>
      </w:r>
      <w:r>
        <w:t xml:space="preserve"> the q-factor ROE variable significantly explains momentum forecasting ability over the past 6 and 11 month periods</w:t>
      </w:r>
    </w:p>
    <w:p w14:paraId="565A160D" w14:textId="5BA1A695" w:rsidR="00D3223C" w:rsidRDefault="00D3223C" w:rsidP="00796125">
      <w:pPr>
        <w:tabs>
          <w:tab w:val="left" w:pos="720"/>
        </w:tabs>
      </w:pPr>
      <w:r>
        <w:t xml:space="preserve">The </w:t>
      </w:r>
      <w:proofErr w:type="spellStart"/>
      <w:r>
        <w:t>Jegadeesh</w:t>
      </w:r>
      <w:proofErr w:type="spellEnd"/>
      <w:r>
        <w:t xml:space="preserve">-Titman (1993) momentum anomaly fares well in our replication. The </w:t>
      </w:r>
      <w:proofErr w:type="spellStart"/>
      <w:r>
        <w:t>highminus</w:t>
      </w:r>
      <w:proofErr w:type="spellEnd"/>
      <w:r>
        <w:t>-low deciles on prior six-month returns (R</w:t>
      </w:r>
      <w:r w:rsidRPr="00D3223C">
        <w:t>6</w:t>
      </w:r>
      <w:r>
        <w:t>) earn on average 0.82% (t = 3.49) and 0.55% (t = 2.9) at the 6- and 12-month, respectively.</w:t>
      </w:r>
    </w:p>
    <w:p w14:paraId="0B134A15" w14:textId="7E6DF6CA" w:rsidR="00D3223C" w:rsidRDefault="00D3223C" w:rsidP="00796125">
      <w:pPr>
        <w:tabs>
          <w:tab w:val="left" w:pos="720"/>
        </w:tabs>
      </w:pPr>
      <w:r>
        <w:t>For the high-minus-low deciles on prior 6-month returns (R6 ) at the 1-, 6-, and 12-month, the q-factor alphas are −0.04%, 0.24%, and 0.16% per month (t = −0.1, 0.78, and 0.75), respectively. The Roe factor is the main source of the model’s performance. In particular, the high-minus-low R6 decile at the 6-month has a Roe-factor loading of 0.99 (t = 5.33), and its investment-factor loading is tiny, −0.01 (t = −0.04)</w:t>
      </w:r>
    </w:p>
    <w:p w14:paraId="2316B7F6" w14:textId="730384C6" w:rsidR="00D3223C" w:rsidRPr="007C63F3" w:rsidRDefault="00D3223C" w:rsidP="00796125">
      <w:pPr>
        <w:pStyle w:val="NoSpacing"/>
        <w:tabs>
          <w:tab w:val="left" w:pos="720"/>
        </w:tabs>
        <w:spacing w:before="120"/>
      </w:pPr>
      <w:r w:rsidRPr="00215DAA">
        <w:rPr>
          <w:b/>
          <w:bCs/>
          <w:color w:val="auto"/>
        </w:rPr>
        <w:lastRenderedPageBreak/>
        <w:t xml:space="preserve">Zhang </w:t>
      </w:r>
      <w:r w:rsidRPr="007C63F3">
        <w:rPr>
          <w:b/>
          <w:bCs/>
        </w:rPr>
        <w:t xml:space="preserve">Statistical Results: </w:t>
      </w:r>
      <w:r w:rsidRPr="007C63F3">
        <w:rPr>
          <w:b/>
          <w:bCs/>
          <w:color w:val="00B050"/>
        </w:rPr>
        <w:t xml:space="preserve">Significant </w:t>
      </w:r>
    </w:p>
    <w:p w14:paraId="1CF76A82" w14:textId="2F62875C" w:rsidR="00D3223C" w:rsidRDefault="00D3223C" w:rsidP="00796125">
      <w:pPr>
        <w:tabs>
          <w:tab w:val="left" w:pos="720"/>
        </w:tabs>
        <w:ind w:left="360"/>
      </w:pPr>
      <w:r>
        <w:t>R</w:t>
      </w:r>
      <w:r w:rsidRPr="00D3223C">
        <w:rPr>
          <w:vertAlign w:val="superscript"/>
        </w:rPr>
        <w:t>6</w:t>
      </w:r>
      <w:r>
        <w:t>1 =</w:t>
      </w:r>
      <w:r w:rsidRPr="002E4FAF">
        <w:t xml:space="preserve"> </w:t>
      </w:r>
      <w:r>
        <w:t xml:space="preserve">Prior Six-month Returns, </w:t>
      </w:r>
      <w:r w:rsidRPr="007C63F3">
        <w:t>One Month Holding Period 0.</w:t>
      </w:r>
      <w:r>
        <w:t>74</w:t>
      </w:r>
      <w:r w:rsidRPr="007C63F3">
        <w:t xml:space="preserve">% average monthly return with </w:t>
      </w:r>
      <w:r>
        <w:t>2.41</w:t>
      </w:r>
      <w:r w:rsidRPr="007C63F3">
        <w:t xml:space="preserve"> t-statistic</w:t>
      </w:r>
    </w:p>
    <w:p w14:paraId="5ABDB19A" w14:textId="3D180E22" w:rsidR="00D3223C" w:rsidRDefault="00D3223C" w:rsidP="00796125">
      <w:pPr>
        <w:tabs>
          <w:tab w:val="left" w:pos="720"/>
        </w:tabs>
        <w:ind w:left="360"/>
      </w:pPr>
      <w:r>
        <w:t>R</w:t>
      </w:r>
      <w:r w:rsidRPr="0036673D">
        <w:rPr>
          <w:vertAlign w:val="superscript"/>
        </w:rPr>
        <w:t>6</w:t>
      </w:r>
      <w:r>
        <w:t xml:space="preserve">6 </w:t>
      </w:r>
      <w:r w:rsidRPr="007C63F3">
        <w:t xml:space="preserve">= </w:t>
      </w:r>
      <w:r>
        <w:t xml:space="preserve">Prior Six-month Returns, </w:t>
      </w:r>
      <w:r w:rsidRPr="007C63F3">
        <w:t>Six Month Holding Period 0.</w:t>
      </w:r>
      <w:r>
        <w:t>71</w:t>
      </w:r>
      <w:r w:rsidRPr="007C63F3">
        <w:t xml:space="preserve"> % average monthly return with</w:t>
      </w:r>
      <w:r>
        <w:t xml:space="preserve"> 2.62</w:t>
      </w:r>
      <w:r w:rsidRPr="007C63F3">
        <w:t xml:space="preserve"> t-statistic</w:t>
      </w:r>
    </w:p>
    <w:p w14:paraId="6CDDA7C3" w14:textId="77CC949B" w:rsidR="00D3223C" w:rsidRDefault="00D3223C" w:rsidP="00796125">
      <w:pPr>
        <w:tabs>
          <w:tab w:val="left" w:pos="720"/>
        </w:tabs>
        <w:ind w:left="360"/>
      </w:pPr>
      <w:r>
        <w:t>R</w:t>
      </w:r>
      <w:r>
        <w:rPr>
          <w:vertAlign w:val="superscript"/>
        </w:rPr>
        <w:t>11</w:t>
      </w:r>
      <w:r>
        <w:t>1 =</w:t>
      </w:r>
      <w:r w:rsidRPr="002E4FAF">
        <w:t xml:space="preserve"> </w:t>
      </w:r>
      <w:r>
        <w:t xml:space="preserve">Prior 11-month Returns, </w:t>
      </w:r>
      <w:r w:rsidRPr="007C63F3">
        <w:t>One Month Holding Period 0.</w:t>
      </w:r>
      <w:r>
        <w:t>89</w:t>
      </w:r>
      <w:r w:rsidRPr="007C63F3">
        <w:t xml:space="preserve">% average monthly return with </w:t>
      </w:r>
      <w:r>
        <w:t>2.67</w:t>
      </w:r>
      <w:r w:rsidRPr="007C63F3">
        <w:t xml:space="preserve"> t-statistic</w:t>
      </w:r>
    </w:p>
    <w:p w14:paraId="31CCA49D" w14:textId="6FA8A1AC" w:rsidR="00D3223C" w:rsidRPr="007C63F3" w:rsidRDefault="00D3223C" w:rsidP="00796125">
      <w:pPr>
        <w:pStyle w:val="NoSpacing"/>
        <w:tabs>
          <w:tab w:val="left" w:pos="720"/>
        </w:tabs>
        <w:spacing w:before="120"/>
      </w:pPr>
      <w:r w:rsidRPr="00215DAA">
        <w:rPr>
          <w:b/>
          <w:bCs/>
          <w:color w:val="auto"/>
        </w:rPr>
        <w:t xml:space="preserve">Zhang </w:t>
      </w:r>
      <w:r w:rsidRPr="007C63F3">
        <w:rPr>
          <w:b/>
          <w:bCs/>
        </w:rPr>
        <w:t xml:space="preserve">Statistical </w:t>
      </w:r>
      <w:r w:rsidRPr="00D3223C">
        <w:rPr>
          <w:b/>
          <w:bCs/>
          <w:color w:val="auto"/>
        </w:rPr>
        <w:t>Results: In</w:t>
      </w:r>
      <w:r>
        <w:rPr>
          <w:b/>
          <w:bCs/>
          <w:color w:val="auto"/>
        </w:rPr>
        <w:t>s</w:t>
      </w:r>
      <w:r w:rsidRPr="00D3223C">
        <w:rPr>
          <w:b/>
          <w:bCs/>
          <w:color w:val="auto"/>
        </w:rPr>
        <w:t xml:space="preserve">ignificant </w:t>
      </w:r>
    </w:p>
    <w:p w14:paraId="5D841399" w14:textId="7C2C3C99" w:rsidR="00D3223C" w:rsidRPr="002E4FAF" w:rsidRDefault="00D3223C" w:rsidP="00796125">
      <w:pPr>
        <w:tabs>
          <w:tab w:val="left" w:pos="720"/>
        </w:tabs>
        <w:ind w:left="360"/>
      </w:pPr>
      <w:r>
        <w:t>R</w:t>
      </w:r>
      <w:r w:rsidRPr="0036673D">
        <w:rPr>
          <w:vertAlign w:val="superscript"/>
        </w:rPr>
        <w:t>6</w:t>
      </w:r>
      <w:r>
        <w:t xml:space="preserve">12 </w:t>
      </w:r>
      <w:r w:rsidRPr="007C63F3">
        <w:t xml:space="preserve">= </w:t>
      </w:r>
      <w:r>
        <w:t xml:space="preserve">Prior Six-month Returns, </w:t>
      </w:r>
      <w:r w:rsidRPr="007C63F3">
        <w:t>Twelve Month Holding Period</w:t>
      </w:r>
      <w:r w:rsidRPr="007C63F3">
        <w:rPr>
          <w:b/>
          <w:bCs/>
        </w:rPr>
        <w:t xml:space="preserve"> </w:t>
      </w:r>
      <w:r w:rsidRPr="007C63F3">
        <w:t>0.</w:t>
      </w:r>
      <w:r>
        <w:t>25</w:t>
      </w:r>
      <w:r w:rsidRPr="007C63F3">
        <w:t>% average monthly return</w:t>
      </w:r>
    </w:p>
    <w:p w14:paraId="0CE2EEA8" w14:textId="34CC05DD" w:rsidR="00D3223C" w:rsidRDefault="00D3223C" w:rsidP="00796125">
      <w:pPr>
        <w:tabs>
          <w:tab w:val="left" w:pos="720"/>
        </w:tabs>
        <w:ind w:left="360"/>
      </w:pPr>
      <w:r>
        <w:t>R</w:t>
      </w:r>
      <w:r>
        <w:rPr>
          <w:vertAlign w:val="superscript"/>
        </w:rPr>
        <w:t>11</w:t>
      </w:r>
      <w:r>
        <w:t xml:space="preserve">6 </w:t>
      </w:r>
      <w:r w:rsidRPr="007C63F3">
        <w:t xml:space="preserve">= </w:t>
      </w:r>
      <w:r>
        <w:t xml:space="preserve">Prior 11-month Returns, </w:t>
      </w:r>
      <w:r w:rsidRPr="007C63F3">
        <w:t>Six Month Holding Period 0.</w:t>
      </w:r>
      <w:r>
        <w:t>41</w:t>
      </w:r>
      <w:r w:rsidRPr="007C63F3">
        <w:t xml:space="preserve"> % average monthly return</w:t>
      </w:r>
    </w:p>
    <w:p w14:paraId="4A55ED79" w14:textId="109BCEAE" w:rsidR="00D3223C" w:rsidRPr="00D3223C" w:rsidRDefault="00D3223C" w:rsidP="00796125">
      <w:pPr>
        <w:tabs>
          <w:tab w:val="left" w:pos="720"/>
        </w:tabs>
        <w:ind w:left="360"/>
      </w:pPr>
      <w:r>
        <w:t>R</w:t>
      </w:r>
      <w:r>
        <w:rPr>
          <w:vertAlign w:val="superscript"/>
        </w:rPr>
        <w:t>11</w:t>
      </w:r>
      <w:r>
        <w:t xml:space="preserve">12 </w:t>
      </w:r>
      <w:r w:rsidRPr="007C63F3">
        <w:t xml:space="preserve">= </w:t>
      </w:r>
      <w:r>
        <w:t xml:space="preserve">Prior 11-month Returns, </w:t>
      </w:r>
      <w:r w:rsidRPr="007C63F3">
        <w:t>Twelve Month Holding Period</w:t>
      </w:r>
      <w:r w:rsidRPr="007C63F3">
        <w:rPr>
          <w:b/>
          <w:bCs/>
        </w:rPr>
        <w:t xml:space="preserve"> </w:t>
      </w:r>
      <w:r>
        <w:t>-0.14</w:t>
      </w:r>
      <w:r w:rsidRPr="007C63F3">
        <w:t xml:space="preserve">% average monthly </w:t>
      </w:r>
    </w:p>
    <w:p w14:paraId="1312D653" w14:textId="77777777" w:rsidR="0036673D" w:rsidRDefault="0036673D" w:rsidP="00796125">
      <w:pPr>
        <w:pStyle w:val="Heading3"/>
        <w:keepNext/>
        <w:widowControl/>
        <w:tabs>
          <w:tab w:val="left" w:pos="720"/>
        </w:tabs>
      </w:pPr>
      <w:r>
        <w:t>Industry Momentum</w:t>
      </w:r>
    </w:p>
    <w:p w14:paraId="54B4E0F4" w14:textId="77777777" w:rsidR="0036673D" w:rsidRDefault="0036673D" w:rsidP="00796125">
      <w:pPr>
        <w:pStyle w:val="NoSpacing"/>
        <w:tabs>
          <w:tab w:val="left" w:pos="720"/>
        </w:tabs>
        <w:spacing w:before="120"/>
        <w:rPr>
          <w:b/>
          <w:bCs/>
          <w:color w:val="auto"/>
        </w:rPr>
      </w:pPr>
      <w:r>
        <w:t xml:space="preserve">Hou, Xue and Zhang started with the FF 49-industry classifications. Excluding financial firms from the sample leaves 45 industries. At the beginning of each month t, they sort industries based on their prior six-month value-weighted returns from t−6 to t−1. Following Moskowitz and </w:t>
      </w:r>
      <w:proofErr w:type="spellStart"/>
      <w:r>
        <w:t>Grinblatt</w:t>
      </w:r>
      <w:proofErr w:type="spellEnd"/>
      <w:r>
        <w:t xml:space="preserve"> (1999), they do not skip month t − 1. they form nine portfolios (9 × 5 = 45), each of which contains five different industries. They define the return of a given portfolio as the simple average of the five industry returns within the portfolio. They calculate portfolio returns for the nine portfolios for the current month t (Im1), from month t to t + 5 (Im6), and from month t to t + 11 (Im12). The portfolios are rebalanced at the beginning of t + 1. The holding period that is longer than one month as in, for instance, Im6, means that for a given portfolio in each month there exist six </w:t>
      </w:r>
      <w:proofErr w:type="spellStart"/>
      <w:r>
        <w:t>subportfolios</w:t>
      </w:r>
      <w:proofErr w:type="spellEnd"/>
      <w:r>
        <w:t xml:space="preserve">, each of which is initiated in a different month in the prior six-month period. They take the simple average of the </w:t>
      </w:r>
      <w:proofErr w:type="spellStart"/>
      <w:r>
        <w:t>subportfolio</w:t>
      </w:r>
      <w:proofErr w:type="spellEnd"/>
      <w:r>
        <w:t xml:space="preserve"> returns as the monthly return of the Im6 portfolio.</w:t>
      </w:r>
      <w:r w:rsidRPr="00215DAA">
        <w:rPr>
          <w:b/>
          <w:bCs/>
          <w:color w:val="auto"/>
        </w:rPr>
        <w:t xml:space="preserve"> </w:t>
      </w:r>
    </w:p>
    <w:p w14:paraId="3A26D053" w14:textId="77777777" w:rsidR="0036673D" w:rsidRPr="007C63F3" w:rsidRDefault="0036673D" w:rsidP="00796125">
      <w:pPr>
        <w:pStyle w:val="NoSpacing"/>
        <w:tabs>
          <w:tab w:val="left" w:pos="720"/>
        </w:tabs>
        <w:spacing w:before="120"/>
      </w:pPr>
      <w:r w:rsidRPr="00215DAA">
        <w:rPr>
          <w:b/>
          <w:bCs/>
          <w:color w:val="auto"/>
        </w:rPr>
        <w:t xml:space="preserve">Zhang </w:t>
      </w:r>
      <w:r w:rsidRPr="007C63F3">
        <w:rPr>
          <w:b/>
          <w:bCs/>
        </w:rPr>
        <w:t xml:space="preserve">Statistical Results: </w:t>
      </w:r>
      <w:r w:rsidRPr="007C63F3">
        <w:rPr>
          <w:b/>
          <w:bCs/>
          <w:color w:val="00B050"/>
        </w:rPr>
        <w:t>Very Significant (t</w:t>
      </w:r>
      <w:r>
        <w:rPr>
          <w:b/>
          <w:bCs/>
          <w:color w:val="00B050"/>
        </w:rPr>
        <w:t>-</w:t>
      </w:r>
      <w:r w:rsidRPr="007C63F3">
        <w:rPr>
          <w:b/>
          <w:bCs/>
          <w:color w:val="00B050"/>
        </w:rPr>
        <w:t xml:space="preserve">test </w:t>
      </w:r>
      <w:r w:rsidRPr="00505332">
        <w:rPr>
          <w:b/>
          <w:bCs/>
          <w:color w:val="00B050"/>
        </w:rPr>
        <w:t>≥</w:t>
      </w:r>
      <w:r w:rsidRPr="007C63F3">
        <w:rPr>
          <w:b/>
          <w:bCs/>
          <w:color w:val="00B050"/>
        </w:rPr>
        <w:t xml:space="preserve"> 3)</w:t>
      </w:r>
      <w:r>
        <w:rPr>
          <w:b/>
          <w:bCs/>
          <w:color w:val="00B050"/>
        </w:rPr>
        <w:t xml:space="preserve"> </w:t>
      </w:r>
      <w:r w:rsidRPr="007C63F3">
        <w:rPr>
          <w:b/>
          <w:bCs/>
          <w:color w:val="00B050"/>
        </w:rPr>
        <w:t xml:space="preserve">more than 99% confident at </w:t>
      </w:r>
      <w:r>
        <w:rPr>
          <w:b/>
          <w:bCs/>
          <w:color w:val="00B050"/>
        </w:rPr>
        <w:t>6</w:t>
      </w:r>
      <w:r w:rsidRPr="007C63F3">
        <w:rPr>
          <w:b/>
          <w:bCs/>
          <w:color w:val="00B050"/>
        </w:rPr>
        <w:t>-</w:t>
      </w:r>
      <w:r>
        <w:rPr>
          <w:b/>
          <w:bCs/>
          <w:color w:val="00B050"/>
        </w:rPr>
        <w:t xml:space="preserve"> </w:t>
      </w:r>
      <w:r w:rsidRPr="007C63F3">
        <w:rPr>
          <w:b/>
          <w:bCs/>
          <w:color w:val="00B050"/>
        </w:rPr>
        <w:t xml:space="preserve">and </w:t>
      </w:r>
      <w:r>
        <w:rPr>
          <w:b/>
          <w:bCs/>
          <w:color w:val="00B050"/>
        </w:rPr>
        <w:t>12</w:t>
      </w:r>
      <w:r w:rsidRPr="007C63F3">
        <w:rPr>
          <w:b/>
          <w:bCs/>
          <w:color w:val="00B050"/>
        </w:rPr>
        <w:t>-month period</w:t>
      </w:r>
      <w:r>
        <w:rPr>
          <w:b/>
          <w:bCs/>
          <w:color w:val="00B050"/>
        </w:rPr>
        <w:t>s</w:t>
      </w:r>
      <w:r w:rsidRPr="007C63F3">
        <w:rPr>
          <w:b/>
          <w:bCs/>
          <w:color w:val="00B050"/>
        </w:rPr>
        <w:t>.</w:t>
      </w:r>
    </w:p>
    <w:p w14:paraId="7E12D844" w14:textId="77777777" w:rsidR="0036673D" w:rsidRPr="007C63F3" w:rsidRDefault="0036673D" w:rsidP="00796125">
      <w:pPr>
        <w:tabs>
          <w:tab w:val="left" w:pos="720"/>
        </w:tabs>
        <w:ind w:left="360"/>
      </w:pPr>
      <w:r>
        <w:t>Im1</w:t>
      </w:r>
      <w:r w:rsidRPr="007C63F3">
        <w:t xml:space="preserve"> = One Month Holding Period 0.</w:t>
      </w:r>
      <w:r>
        <w:t>67</w:t>
      </w:r>
      <w:r w:rsidRPr="007C63F3">
        <w:t xml:space="preserve">% average monthly return with </w:t>
      </w:r>
      <w:r>
        <w:t>2</w:t>
      </w:r>
      <w:r w:rsidRPr="007C63F3">
        <w:t>.</w:t>
      </w:r>
      <w:r>
        <w:t>74</w:t>
      </w:r>
      <w:r w:rsidRPr="007C63F3">
        <w:t xml:space="preserve"> t-statistic</w:t>
      </w:r>
    </w:p>
    <w:p w14:paraId="33FF99EC" w14:textId="77777777" w:rsidR="0036673D" w:rsidRPr="007C63F3" w:rsidRDefault="0036673D" w:rsidP="00796125">
      <w:pPr>
        <w:tabs>
          <w:tab w:val="left" w:pos="720"/>
        </w:tabs>
        <w:ind w:left="360"/>
      </w:pPr>
      <w:r>
        <w:t>Im6</w:t>
      </w:r>
      <w:r w:rsidRPr="007C63F3">
        <w:t xml:space="preserve"> = Six Month Holding Period 0.</w:t>
      </w:r>
      <w:r>
        <w:t>60</w:t>
      </w:r>
      <w:r w:rsidRPr="007C63F3">
        <w:t>% average monthly return with</w:t>
      </w:r>
      <w:r>
        <w:t xml:space="preserve"> 3</w:t>
      </w:r>
      <w:r w:rsidRPr="007C63F3">
        <w:t>.0</w:t>
      </w:r>
      <w:r>
        <w:t>8</w:t>
      </w:r>
      <w:r w:rsidRPr="007C63F3">
        <w:t xml:space="preserve"> t-statistic</w:t>
      </w:r>
    </w:p>
    <w:p w14:paraId="4F5B98C4" w14:textId="603F9DB9" w:rsidR="0036673D" w:rsidRPr="00F65FBB" w:rsidRDefault="0036673D" w:rsidP="00796125">
      <w:pPr>
        <w:tabs>
          <w:tab w:val="left" w:pos="720"/>
        </w:tabs>
        <w:ind w:left="360"/>
      </w:pPr>
      <w:r>
        <w:t>Im</w:t>
      </w:r>
      <w:r w:rsidRPr="007C63F3">
        <w:t>12</w:t>
      </w:r>
      <w:r>
        <w:t xml:space="preserve"> </w:t>
      </w:r>
      <w:r w:rsidRPr="007C63F3">
        <w:t>= Twelve Month Holding Period</w:t>
      </w:r>
      <w:r w:rsidRPr="007C63F3">
        <w:rPr>
          <w:b/>
          <w:bCs/>
        </w:rPr>
        <w:t xml:space="preserve"> </w:t>
      </w:r>
      <w:r w:rsidRPr="007C63F3">
        <w:t>0.</w:t>
      </w:r>
      <w:r>
        <w:t>64</w:t>
      </w:r>
      <w:r w:rsidRPr="007C63F3">
        <w:t xml:space="preserve">% average monthly return with </w:t>
      </w:r>
      <w:r>
        <w:t>3</w:t>
      </w:r>
      <w:r w:rsidRPr="007C63F3">
        <w:t>.</w:t>
      </w:r>
      <w:r>
        <w:t>71</w:t>
      </w:r>
      <w:r w:rsidRPr="007C63F3">
        <w:t xml:space="preserve"> t-statistic</w:t>
      </w:r>
    </w:p>
    <w:p w14:paraId="48FA8076" w14:textId="2E368508" w:rsidR="002E4FAF" w:rsidRDefault="002E4FAF" w:rsidP="00796125">
      <w:pPr>
        <w:pStyle w:val="Heading3"/>
        <w:keepNext/>
        <w:widowControl/>
        <w:tabs>
          <w:tab w:val="left" w:pos="720"/>
        </w:tabs>
      </w:pPr>
      <w:r>
        <w:t>Changes in Analyst Earnings Forecasts</w:t>
      </w:r>
    </w:p>
    <w:p w14:paraId="7F8BAD90" w14:textId="77777777" w:rsidR="0036673D" w:rsidRDefault="0036673D" w:rsidP="00796125">
      <w:pPr>
        <w:tabs>
          <w:tab w:val="left" w:pos="720"/>
        </w:tabs>
        <w:spacing w:before="60"/>
      </w:pPr>
      <w:r>
        <w:t xml:space="preserve">Following Hawkins, Chamberlin, and Daniel (1984), we define </w:t>
      </w:r>
      <w:proofErr w:type="spellStart"/>
      <w:r>
        <w:t>dEf</w:t>
      </w:r>
      <w:proofErr w:type="spellEnd"/>
      <w:r>
        <w:t xml:space="preserve"> ≡ (fit−1 − fit−2)/(0.5 |fit−1| + 0.5 |fit−2|), in which fit−1 is the consensus mean forecast (IBES unadjusted file, item MEANEST) issued in month t − 1 for firm i’s current fiscal year earnings (fiscal period indicator = 1). We require earnings forecasts to be denominated in US dollars (currency code = USD). We also adjust for any stock splits between months t−2 and t−1 when constructing </w:t>
      </w:r>
      <w:proofErr w:type="spellStart"/>
      <w:r>
        <w:t>dEf.</w:t>
      </w:r>
      <w:proofErr w:type="spellEnd"/>
      <w:r>
        <w:t xml:space="preserve"> At the beginning of each month t, we sort stocks into deciles on the prior month </w:t>
      </w:r>
      <w:proofErr w:type="spellStart"/>
      <w:r>
        <w:t>dEf</w:t>
      </w:r>
      <w:proofErr w:type="spellEnd"/>
      <w:r>
        <w:t xml:space="preserve">, and calculate returns for the current month t (dEf1), from month t to t + 5 (dEf6), and from month t to t + 11 (dEf12). The deciles are rebalanced at the beginning of month t + 1. The holding period longer than one month as in, for instance, dEf6, means that for a given decile in each month there exist six </w:t>
      </w:r>
      <w:proofErr w:type="spellStart"/>
      <w:r>
        <w:t>subdeciles</w:t>
      </w:r>
      <w:proofErr w:type="spellEnd"/>
      <w:r>
        <w:t xml:space="preserve">, each of which is initiated in a different month in the prior six months. We take the simple average of the </w:t>
      </w:r>
      <w:proofErr w:type="spellStart"/>
      <w:r>
        <w:t>subdecile</w:t>
      </w:r>
      <w:proofErr w:type="spellEnd"/>
      <w:r>
        <w:t xml:space="preserve"> returns as the monthly return of the dEf6 decile. Because analyst forecast data start in January 1976, the </w:t>
      </w:r>
      <w:proofErr w:type="spellStart"/>
      <w:r>
        <w:t>dEf</w:t>
      </w:r>
      <w:proofErr w:type="spellEnd"/>
      <w:r>
        <w:t xml:space="preserve"> portfolios start in March 1976.</w:t>
      </w:r>
    </w:p>
    <w:p w14:paraId="01340C8F" w14:textId="69982736" w:rsidR="002C215E" w:rsidRPr="007C63F3" w:rsidRDefault="002C215E" w:rsidP="00796125">
      <w:pPr>
        <w:pStyle w:val="NoSpacing"/>
        <w:tabs>
          <w:tab w:val="left" w:pos="720"/>
        </w:tabs>
        <w:spacing w:before="120"/>
      </w:pPr>
      <w:r w:rsidRPr="00215DAA">
        <w:rPr>
          <w:b/>
          <w:bCs/>
          <w:color w:val="auto"/>
        </w:rPr>
        <w:lastRenderedPageBreak/>
        <w:t xml:space="preserve">Zhang </w:t>
      </w:r>
      <w:r w:rsidRPr="007C63F3">
        <w:rPr>
          <w:b/>
          <w:bCs/>
        </w:rPr>
        <w:t xml:space="preserve">Statistical Results: </w:t>
      </w:r>
      <w:r w:rsidRPr="007C63F3">
        <w:rPr>
          <w:b/>
          <w:bCs/>
          <w:color w:val="00B050"/>
        </w:rPr>
        <w:t>Very Significant (t</w:t>
      </w:r>
      <w:r>
        <w:rPr>
          <w:b/>
          <w:bCs/>
          <w:color w:val="00B050"/>
        </w:rPr>
        <w:t>-</w:t>
      </w:r>
      <w:r w:rsidRPr="007C63F3">
        <w:rPr>
          <w:b/>
          <w:bCs/>
          <w:color w:val="00B050"/>
        </w:rPr>
        <w:t xml:space="preserve">test </w:t>
      </w:r>
      <w:r w:rsidRPr="00505332">
        <w:rPr>
          <w:b/>
          <w:bCs/>
          <w:color w:val="00B050"/>
        </w:rPr>
        <w:t>≥</w:t>
      </w:r>
      <w:r w:rsidRPr="007C63F3">
        <w:rPr>
          <w:b/>
          <w:bCs/>
          <w:color w:val="00B050"/>
        </w:rPr>
        <w:t xml:space="preserve"> 3)</w:t>
      </w:r>
      <w:r>
        <w:rPr>
          <w:b/>
          <w:bCs/>
          <w:color w:val="00B050"/>
        </w:rPr>
        <w:t xml:space="preserve"> </w:t>
      </w:r>
      <w:r w:rsidRPr="007C63F3">
        <w:rPr>
          <w:b/>
          <w:bCs/>
          <w:color w:val="00B050"/>
        </w:rPr>
        <w:t xml:space="preserve">more than 99% confident at </w:t>
      </w:r>
      <w:r>
        <w:rPr>
          <w:b/>
          <w:bCs/>
          <w:color w:val="00B050"/>
        </w:rPr>
        <w:t>1</w:t>
      </w:r>
      <w:r w:rsidRPr="007C63F3">
        <w:rPr>
          <w:b/>
          <w:bCs/>
          <w:color w:val="00B050"/>
        </w:rPr>
        <w:t>-</w:t>
      </w:r>
      <w:r>
        <w:rPr>
          <w:b/>
          <w:bCs/>
          <w:color w:val="00B050"/>
        </w:rPr>
        <w:t xml:space="preserve"> </w:t>
      </w:r>
      <w:r w:rsidRPr="007C63F3">
        <w:rPr>
          <w:b/>
          <w:bCs/>
          <w:color w:val="00B050"/>
        </w:rPr>
        <w:t xml:space="preserve">and </w:t>
      </w:r>
      <w:r>
        <w:rPr>
          <w:b/>
          <w:bCs/>
          <w:color w:val="00B050"/>
        </w:rPr>
        <w:t>6</w:t>
      </w:r>
      <w:r w:rsidRPr="007C63F3">
        <w:rPr>
          <w:b/>
          <w:bCs/>
          <w:color w:val="00B050"/>
        </w:rPr>
        <w:t>-month period</w:t>
      </w:r>
      <w:r>
        <w:rPr>
          <w:b/>
          <w:bCs/>
          <w:color w:val="00B050"/>
        </w:rPr>
        <w:t>s</w:t>
      </w:r>
      <w:r w:rsidRPr="007C63F3">
        <w:rPr>
          <w:b/>
          <w:bCs/>
          <w:color w:val="00B050"/>
        </w:rPr>
        <w:t>.</w:t>
      </w:r>
      <w:r>
        <w:rPr>
          <w:b/>
          <w:bCs/>
          <w:color w:val="00B050"/>
        </w:rPr>
        <w:t xml:space="preserve"> Significant at 12-month.</w:t>
      </w:r>
    </w:p>
    <w:p w14:paraId="3F7B7755" w14:textId="2C58BDC0" w:rsidR="00D3223C" w:rsidRPr="007C63F3" w:rsidRDefault="002C215E" w:rsidP="00796125">
      <w:pPr>
        <w:tabs>
          <w:tab w:val="left" w:pos="720"/>
        </w:tabs>
        <w:ind w:left="360"/>
      </w:pPr>
      <w:r>
        <w:t>dEf1</w:t>
      </w:r>
      <w:r w:rsidR="00D3223C" w:rsidRPr="007C63F3">
        <w:t xml:space="preserve">= One Month Holding Period </w:t>
      </w:r>
      <w:r>
        <w:t>1.03</w:t>
      </w:r>
      <w:r w:rsidR="00D3223C" w:rsidRPr="007C63F3">
        <w:t xml:space="preserve">% average monthly return with </w:t>
      </w:r>
      <w:r>
        <w:t xml:space="preserve">4.65 </w:t>
      </w:r>
      <w:r w:rsidR="00D3223C" w:rsidRPr="007C63F3">
        <w:t>t-statistic</w:t>
      </w:r>
    </w:p>
    <w:p w14:paraId="7E9DC6ED" w14:textId="666B0EC1" w:rsidR="00D3223C" w:rsidRPr="007C63F3" w:rsidRDefault="002C215E" w:rsidP="00796125">
      <w:pPr>
        <w:tabs>
          <w:tab w:val="left" w:pos="720"/>
        </w:tabs>
        <w:ind w:left="360"/>
      </w:pPr>
      <w:r>
        <w:t>dEf6</w:t>
      </w:r>
      <w:r w:rsidR="00D3223C" w:rsidRPr="007C63F3">
        <w:t xml:space="preserve">= Six Month Holding Period </w:t>
      </w:r>
      <w:r>
        <w:t>0.58</w:t>
      </w:r>
      <w:r w:rsidR="00D3223C" w:rsidRPr="007C63F3">
        <w:t>% average monthly return with</w:t>
      </w:r>
      <w:r w:rsidR="00D3223C">
        <w:t xml:space="preserve"> </w:t>
      </w:r>
      <w:r>
        <w:t xml:space="preserve">3.23 </w:t>
      </w:r>
      <w:r w:rsidR="00D3223C" w:rsidRPr="007C63F3">
        <w:t>t-statistic</w:t>
      </w:r>
    </w:p>
    <w:p w14:paraId="1661E21D" w14:textId="2A0492B5" w:rsidR="002E4FAF" w:rsidRDefault="002C215E" w:rsidP="00796125">
      <w:pPr>
        <w:tabs>
          <w:tab w:val="left" w:pos="720"/>
        </w:tabs>
        <w:ind w:left="360"/>
      </w:pPr>
      <w:r>
        <w:t>dEf12</w:t>
      </w:r>
      <w:r w:rsidR="00D3223C" w:rsidRPr="007C63F3">
        <w:t>= Twelve Month Holding Period</w:t>
      </w:r>
      <w:r w:rsidR="00D3223C" w:rsidRPr="007C63F3">
        <w:rPr>
          <w:b/>
          <w:bCs/>
        </w:rPr>
        <w:t xml:space="preserve"> </w:t>
      </w:r>
      <w:r>
        <w:t>0.35</w:t>
      </w:r>
      <w:r w:rsidR="00D3223C" w:rsidRPr="007C63F3">
        <w:t xml:space="preserve">% average monthly return with </w:t>
      </w:r>
      <w:r>
        <w:t xml:space="preserve">2.45 </w:t>
      </w:r>
      <w:r w:rsidR="00D3223C" w:rsidRPr="007C63F3">
        <w:t>t-statistic</w:t>
      </w:r>
    </w:p>
    <w:p w14:paraId="52743362" w14:textId="77777777" w:rsidR="0036673D" w:rsidRDefault="0036673D" w:rsidP="00796125">
      <w:pPr>
        <w:pStyle w:val="Heading3"/>
        <w:keepNext/>
        <w:widowControl/>
        <w:tabs>
          <w:tab w:val="left" w:pos="720"/>
        </w:tabs>
      </w:pPr>
      <w:r w:rsidRPr="007C63F3">
        <w:t>The Number of Quarters with Consecutive Earnings</w:t>
      </w:r>
      <w:r>
        <w:t xml:space="preserve"> </w:t>
      </w:r>
      <w:r w:rsidRPr="0042487F">
        <w:t xml:space="preserve">Increase </w:t>
      </w:r>
    </w:p>
    <w:p w14:paraId="4EE42858" w14:textId="77777777" w:rsidR="0036673D" w:rsidRPr="007C63F3" w:rsidRDefault="0036673D" w:rsidP="00796125">
      <w:pPr>
        <w:pStyle w:val="NoSpacing"/>
        <w:tabs>
          <w:tab w:val="left" w:pos="720"/>
        </w:tabs>
        <w:spacing w:before="120"/>
        <w:rPr>
          <w:b/>
          <w:bCs/>
        </w:rPr>
      </w:pPr>
      <w:r>
        <w:t xml:space="preserve">Hou, Xue and Zhang followed Barth, Elliott, and Finn (1999) and Green, Hand, and Zhang (2013) in measuring </w:t>
      </w:r>
      <w:proofErr w:type="spellStart"/>
      <w:r>
        <w:t>Nei</w:t>
      </w:r>
      <w:proofErr w:type="spellEnd"/>
      <w:r>
        <w:t xml:space="preserve"> as the number of consecutive quarters (up to eight quarters) with an increase in earnings (</w:t>
      </w:r>
      <w:proofErr w:type="spellStart"/>
      <w:r>
        <w:t>Compustat</w:t>
      </w:r>
      <w:proofErr w:type="spellEnd"/>
      <w:r>
        <w:t xml:space="preserve"> quarterly item IBQ) over the same quarter in the </w:t>
      </w:r>
      <w:r w:rsidRPr="007C63F3">
        <w:t xml:space="preserve">prior year. At the beginning of each month t, </w:t>
      </w:r>
      <w:r>
        <w:t>they</w:t>
      </w:r>
      <w:r w:rsidRPr="007C63F3">
        <w:t xml:space="preserve"> sort stocks into nine portfolios (with </w:t>
      </w:r>
      <w:proofErr w:type="spellStart"/>
      <w:r w:rsidRPr="007C63F3">
        <w:t>Nei</w:t>
      </w:r>
      <w:proofErr w:type="spellEnd"/>
      <w:r w:rsidRPr="007C63F3">
        <w:t xml:space="preserve"> = 0, 1, 2, . . . , 7, and 8, respectively) based on their most recent past </w:t>
      </w:r>
      <w:proofErr w:type="spellStart"/>
      <w:r w:rsidRPr="007C63F3">
        <w:t>Nei</w:t>
      </w:r>
      <w:proofErr w:type="spellEnd"/>
      <w:r w:rsidRPr="007C63F3">
        <w:t>.</w:t>
      </w:r>
      <w:r w:rsidRPr="007C63F3">
        <w:rPr>
          <w:b/>
          <w:bCs/>
        </w:rPr>
        <w:t xml:space="preserve"> </w:t>
      </w:r>
    </w:p>
    <w:p w14:paraId="21EC8778" w14:textId="2E121005" w:rsidR="0036673D" w:rsidRPr="007C63F3" w:rsidRDefault="0036673D" w:rsidP="00796125">
      <w:pPr>
        <w:pStyle w:val="NoSpacing"/>
        <w:tabs>
          <w:tab w:val="left" w:pos="720"/>
        </w:tabs>
        <w:spacing w:before="120"/>
      </w:pPr>
      <w:r w:rsidRPr="00215DAA">
        <w:rPr>
          <w:b/>
          <w:bCs/>
          <w:color w:val="auto"/>
        </w:rPr>
        <w:t xml:space="preserve">Zhang </w:t>
      </w:r>
      <w:r w:rsidRPr="007C63F3">
        <w:rPr>
          <w:b/>
          <w:bCs/>
        </w:rPr>
        <w:t xml:space="preserve">Statistical Results: </w:t>
      </w:r>
      <w:r w:rsidRPr="007C63F3">
        <w:rPr>
          <w:b/>
          <w:bCs/>
          <w:color w:val="00B050"/>
        </w:rPr>
        <w:t>Very Significant (t</w:t>
      </w:r>
      <w:r>
        <w:rPr>
          <w:b/>
          <w:bCs/>
          <w:color w:val="00B050"/>
        </w:rPr>
        <w:t>-</w:t>
      </w:r>
      <w:r w:rsidRPr="007C63F3">
        <w:rPr>
          <w:b/>
          <w:bCs/>
          <w:color w:val="00B050"/>
        </w:rPr>
        <w:t xml:space="preserve">test </w:t>
      </w:r>
      <w:r w:rsidRPr="00505332">
        <w:rPr>
          <w:b/>
          <w:bCs/>
          <w:color w:val="00B050"/>
        </w:rPr>
        <w:t>≥</w:t>
      </w:r>
      <w:r w:rsidRPr="007C63F3">
        <w:rPr>
          <w:b/>
          <w:bCs/>
          <w:color w:val="00B050"/>
        </w:rPr>
        <w:t xml:space="preserve"> 3)</w:t>
      </w:r>
      <w:r w:rsidR="001E697A">
        <w:rPr>
          <w:b/>
          <w:bCs/>
          <w:color w:val="00B050"/>
        </w:rPr>
        <w:t xml:space="preserve"> </w:t>
      </w:r>
      <w:r w:rsidRPr="007C63F3">
        <w:rPr>
          <w:b/>
          <w:bCs/>
          <w:color w:val="00B050"/>
        </w:rPr>
        <w:t>more than 99% confident at 1- and 6-month period.</w:t>
      </w:r>
    </w:p>
    <w:p w14:paraId="0A15D5B9" w14:textId="77777777" w:rsidR="0036673D" w:rsidRPr="007C63F3" w:rsidRDefault="0036673D" w:rsidP="00796125">
      <w:pPr>
        <w:tabs>
          <w:tab w:val="left" w:pos="720"/>
        </w:tabs>
        <w:ind w:left="360"/>
      </w:pPr>
      <w:r w:rsidRPr="007C63F3">
        <w:t>Nei1 = One Month Holding Period 0.37% average monthly return with 3.31 t-statistic</w:t>
      </w:r>
    </w:p>
    <w:p w14:paraId="02B4C67E" w14:textId="77777777" w:rsidR="0036673D" w:rsidRPr="007C63F3" w:rsidRDefault="0036673D" w:rsidP="00796125">
      <w:pPr>
        <w:tabs>
          <w:tab w:val="left" w:pos="720"/>
        </w:tabs>
        <w:ind w:left="360"/>
      </w:pPr>
      <w:r w:rsidRPr="007C63F3">
        <w:t>Nei6 = Six Month Holding Period 0.22% average monthly return with 2.03 t-statistic</w:t>
      </w:r>
    </w:p>
    <w:p w14:paraId="6C2F90A9" w14:textId="77777777" w:rsidR="0036673D" w:rsidRPr="007C63F3" w:rsidRDefault="0036673D" w:rsidP="00796125">
      <w:pPr>
        <w:tabs>
          <w:tab w:val="left" w:pos="720"/>
        </w:tabs>
        <w:ind w:left="360"/>
      </w:pPr>
      <w:r w:rsidRPr="007C63F3">
        <w:t>Nei12= Twelve Month Holding Period</w:t>
      </w:r>
      <w:r w:rsidRPr="007C63F3">
        <w:rPr>
          <w:b/>
          <w:bCs/>
        </w:rPr>
        <w:t xml:space="preserve"> Not Statistically Significant</w:t>
      </w:r>
    </w:p>
    <w:p w14:paraId="13D2EEFA" w14:textId="47859F9F" w:rsidR="0036673D" w:rsidRDefault="0036673D" w:rsidP="00796125">
      <w:pPr>
        <w:pStyle w:val="Heading3"/>
        <w:keepNext/>
        <w:widowControl/>
        <w:tabs>
          <w:tab w:val="left" w:pos="720"/>
        </w:tabs>
      </w:pPr>
      <w:r>
        <w:t>52 Week High</w:t>
      </w:r>
    </w:p>
    <w:p w14:paraId="3EE31BA6" w14:textId="23EA1BB2" w:rsidR="0036673D" w:rsidRDefault="0036673D" w:rsidP="00796125">
      <w:pPr>
        <w:pStyle w:val="BodyText"/>
        <w:tabs>
          <w:tab w:val="left" w:pos="720"/>
        </w:tabs>
      </w:pPr>
      <w:r>
        <w:t>At the beginning of each month t, we split stocks into deciles based on 52w, which is the ratio of its split-adjusted price per share at the end of month t − 1 to its highest (daily) split-adjusted price per share during the 12-month period ending on the last day of month t − 1. Monthly decile returns are calculated for the current month t (52w1), from month t to t + 5 (</w:t>
      </w:r>
      <w:r w:rsidRPr="0036673D">
        <w:rPr>
          <w:b/>
          <w:bCs/>
        </w:rPr>
        <w:t>52w6</w:t>
      </w:r>
      <w:r>
        <w:t xml:space="preserve">), and from month t to t + 11 (52w12), and the deciles are rebalanced at the beginning of month t + 1. The holding period longer than one month as in 52w6 means that for a given decile in each month there exist six </w:t>
      </w:r>
      <w:proofErr w:type="spellStart"/>
      <w:r>
        <w:t>subdeciles</w:t>
      </w:r>
      <w:proofErr w:type="spellEnd"/>
      <w:r>
        <w:t xml:space="preserve">, each of which is initiated in a different month in the prior six months. We take the simple average of the </w:t>
      </w:r>
      <w:proofErr w:type="spellStart"/>
      <w:r>
        <w:t>subdecile</w:t>
      </w:r>
      <w:proofErr w:type="spellEnd"/>
      <w:r>
        <w:t xml:space="preserve"> returns as the monthly return of the 52w6 decile. Because a disproportionately large number of stocks can reach the 52-week high at the same time and have 52w equal to one, we use only 52w smaller than one to form the portfolio breakpoints. Doing so helps avoid missing portfolio observations</w:t>
      </w:r>
    </w:p>
    <w:p w14:paraId="26BB2352" w14:textId="7613F793" w:rsidR="00952251" w:rsidRPr="007C63F3" w:rsidRDefault="00952251" w:rsidP="00796125">
      <w:pPr>
        <w:pStyle w:val="NoSpacing"/>
        <w:tabs>
          <w:tab w:val="left" w:pos="720"/>
        </w:tabs>
        <w:spacing w:before="120"/>
      </w:pPr>
      <w:r w:rsidRPr="00215DAA">
        <w:rPr>
          <w:b/>
          <w:bCs/>
          <w:color w:val="auto"/>
        </w:rPr>
        <w:t xml:space="preserve">Zhang </w:t>
      </w:r>
      <w:r w:rsidRPr="007C63F3">
        <w:rPr>
          <w:b/>
          <w:bCs/>
        </w:rPr>
        <w:t xml:space="preserve">Statistical Results: </w:t>
      </w:r>
      <w:r w:rsidRPr="007C63F3">
        <w:rPr>
          <w:b/>
          <w:bCs/>
          <w:color w:val="00B050"/>
        </w:rPr>
        <w:t xml:space="preserve">Significant at the 95% confident </w:t>
      </w:r>
      <w:r w:rsidR="00FF47C7" w:rsidRPr="007C63F3">
        <w:rPr>
          <w:b/>
          <w:bCs/>
          <w:color w:val="00B050"/>
        </w:rPr>
        <w:t>at 6</w:t>
      </w:r>
      <w:r w:rsidRPr="007C63F3">
        <w:rPr>
          <w:b/>
          <w:bCs/>
          <w:color w:val="00B050"/>
        </w:rPr>
        <w:t>-month</w:t>
      </w:r>
    </w:p>
    <w:p w14:paraId="7D8CF6EF" w14:textId="0052F4FE" w:rsidR="0036673D" w:rsidRPr="0036673D" w:rsidRDefault="00952251" w:rsidP="00796125">
      <w:pPr>
        <w:tabs>
          <w:tab w:val="left" w:pos="720"/>
        </w:tabs>
        <w:ind w:left="360"/>
      </w:pPr>
      <w:r>
        <w:t xml:space="preserve">52w6 </w:t>
      </w:r>
      <w:r w:rsidRPr="007C63F3">
        <w:t>= Six Month Holding Period 0.</w:t>
      </w:r>
      <w:r>
        <w:t>57</w:t>
      </w:r>
      <w:r w:rsidRPr="007C63F3">
        <w:t xml:space="preserve">% average monthly return with </w:t>
      </w:r>
      <w:r>
        <w:t xml:space="preserve">2.02 </w:t>
      </w:r>
      <w:r w:rsidRPr="007C63F3">
        <w:t>t-statistic</w:t>
      </w:r>
      <w:r>
        <w:t>\</w:t>
      </w:r>
      <w:r w:rsidR="00F123E5">
        <w:tab/>
      </w:r>
    </w:p>
    <w:p w14:paraId="34A0F905" w14:textId="7E8372AA" w:rsidR="00A0623C" w:rsidRPr="0042487F" w:rsidRDefault="0036673D" w:rsidP="00796125">
      <w:pPr>
        <w:pStyle w:val="Heading3"/>
        <w:keepNext/>
        <w:widowControl/>
        <w:tabs>
          <w:tab w:val="left" w:pos="720"/>
        </w:tabs>
      </w:pPr>
      <w:r w:rsidRPr="0042487F">
        <w:t xml:space="preserve">Residual Momentum </w:t>
      </w:r>
      <w:r w:rsidR="00A0623C" w:rsidRPr="0042487F">
        <w:t xml:space="preserve">Six-month </w:t>
      </w:r>
    </w:p>
    <w:p w14:paraId="5E4495F9" w14:textId="24F15532" w:rsidR="0036673D" w:rsidRDefault="0036673D" w:rsidP="00796125">
      <w:pPr>
        <w:tabs>
          <w:tab w:val="left" w:pos="720"/>
        </w:tabs>
      </w:pPr>
      <w:r>
        <w:t>We split all stocks into deciles at the beginning of each month t based on their prior six-month average residual returns from month t − 7 to t − 2 scaled by their standard deviation over the same period. Skipping month t − 1, we calculate monthly decile returns for month t (</w:t>
      </w: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6</w:t>
      </w:r>
      <w:r w:rsidRPr="007C63F3">
        <w:rPr>
          <w:color w:val="auto"/>
        </w:rPr>
        <w:t>1</w:t>
      </w:r>
      <w:r>
        <w:t>), from month t to t + 5 (</w:t>
      </w: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6</w:t>
      </w:r>
      <w:r w:rsidRPr="007C63F3">
        <w:t>6</w:t>
      </w:r>
      <w:r>
        <w:t>), and from month t to t + 11 (</w:t>
      </w: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6</w:t>
      </w:r>
      <w:r w:rsidRPr="007C63F3">
        <w:rPr>
          <w:color w:val="auto"/>
        </w:rPr>
        <w:t>1</w:t>
      </w:r>
      <w:r>
        <w:t xml:space="preserve">2). Residual returns are estimated each month for all stocks over the prior 36 months from month t−36 to month t−1 from </w:t>
      </w:r>
      <w:r w:rsidRPr="0036673D">
        <w:rPr>
          <w:b/>
          <w:bCs/>
        </w:rPr>
        <w:t>regressing stock excess returns on the Fama-French three factors</w:t>
      </w:r>
      <w:r>
        <w:t xml:space="preserve">. To reduce the noisiness of the estimation, we require returns to be available for all prior 36 months. All the deciles are rebalanced at the beginning of month t + 1. The holding period that is longer than 1 month as in </w:t>
      </w: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6</w:t>
      </w:r>
      <w:r w:rsidRPr="007C63F3">
        <w:t>6</w:t>
      </w:r>
      <w:r>
        <w:t xml:space="preserve"> means that for a given decile in each month there exist six </w:t>
      </w:r>
      <w:proofErr w:type="spellStart"/>
      <w:r>
        <w:t>subdeciles</w:t>
      </w:r>
      <w:proofErr w:type="spellEnd"/>
      <w:r>
        <w:t xml:space="preserve">, each of which is initiated in a different month in the prior six-month period. We take the simple average of the </w:t>
      </w:r>
      <w:proofErr w:type="spellStart"/>
      <w:r>
        <w:t>subdecile</w:t>
      </w:r>
      <w:proofErr w:type="spellEnd"/>
      <w:r>
        <w:t xml:space="preserve"> returns as the monthly return of the </w:t>
      </w: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6</w:t>
      </w:r>
      <w:r w:rsidRPr="007C63F3">
        <w:t>6</w:t>
      </w:r>
      <w:r>
        <w:t xml:space="preserve"> decile.</w:t>
      </w:r>
    </w:p>
    <w:p w14:paraId="1E7E066A" w14:textId="4B9BAD5D" w:rsidR="00A0623C" w:rsidRDefault="00A0623C" w:rsidP="00796125">
      <w:pPr>
        <w:tabs>
          <w:tab w:val="left" w:pos="720"/>
        </w:tabs>
      </w:pPr>
      <w:r>
        <w:lastRenderedPageBreak/>
        <w:t xml:space="preserve">Blitz, </w:t>
      </w:r>
      <w:proofErr w:type="spellStart"/>
      <w:r>
        <w:t>Huij</w:t>
      </w:r>
      <w:proofErr w:type="spellEnd"/>
      <w:r>
        <w:t>, and Martens (2011)</w:t>
      </w:r>
    </w:p>
    <w:p w14:paraId="63C8E2ED" w14:textId="5FD97235" w:rsidR="00A0623C" w:rsidRPr="007C63F3" w:rsidRDefault="0003116E" w:rsidP="00796125">
      <w:pPr>
        <w:tabs>
          <w:tab w:val="left" w:pos="720"/>
        </w:tabs>
      </w:pPr>
      <w:r>
        <w:t>B</w:t>
      </w:r>
      <w:r w:rsidR="00A0623C">
        <w:t xml:space="preserve">ased on six-month average returns from month t − 7 to t − 2 scaled by their standard </w:t>
      </w:r>
      <w:r w:rsidR="00A0623C" w:rsidRPr="007C63F3">
        <w:t>deviation over the same period. Skipping month t – 1</w:t>
      </w:r>
    </w:p>
    <w:p w14:paraId="2CB696CF" w14:textId="77777777" w:rsidR="00A0623C" w:rsidRPr="007C63F3" w:rsidRDefault="00A0623C" w:rsidP="00796125">
      <w:pPr>
        <w:tabs>
          <w:tab w:val="left" w:pos="720"/>
        </w:tabs>
        <w:rPr>
          <w:b/>
          <w:bCs/>
          <w:color w:val="auto"/>
        </w:rPr>
      </w:pPr>
      <w:r w:rsidRPr="00215DAA">
        <w:rPr>
          <w:b/>
          <w:bCs/>
          <w:color w:val="auto"/>
        </w:rPr>
        <w:t xml:space="preserve">Zhang </w:t>
      </w:r>
      <w:r w:rsidRPr="007C63F3">
        <w:rPr>
          <w:b/>
          <w:bCs/>
        </w:rPr>
        <w:t xml:space="preserve">Statistical Results: </w:t>
      </w:r>
      <w:r w:rsidRPr="007C63F3">
        <w:rPr>
          <w:rFonts w:cs="Mangal"/>
          <w:b/>
          <w:bCs/>
          <w:color w:val="00B050"/>
          <w:szCs w:val="20"/>
        </w:rPr>
        <w:t>Very Significant (t</w:t>
      </w:r>
      <w:r>
        <w:rPr>
          <w:b/>
          <w:bCs/>
          <w:color w:val="00B050"/>
        </w:rPr>
        <w:t>-</w:t>
      </w:r>
      <w:r w:rsidRPr="007C63F3">
        <w:rPr>
          <w:rFonts w:cs="Mangal"/>
          <w:b/>
          <w:bCs/>
          <w:color w:val="00B050"/>
          <w:szCs w:val="20"/>
        </w:rPr>
        <w:t xml:space="preserve">test </w:t>
      </w:r>
      <w:r w:rsidRPr="00505332">
        <w:rPr>
          <w:b/>
          <w:bCs/>
          <w:color w:val="00B050"/>
        </w:rPr>
        <w:t>≥</w:t>
      </w:r>
      <w:r w:rsidRPr="007C63F3">
        <w:rPr>
          <w:rFonts w:cs="Mangal"/>
          <w:b/>
          <w:bCs/>
          <w:color w:val="00B050"/>
          <w:szCs w:val="20"/>
        </w:rPr>
        <w:t xml:space="preserve"> 3)) more than 99% confident at 6- and 12-month period.</w:t>
      </w:r>
      <w:r w:rsidRPr="007C63F3">
        <w:rPr>
          <w:b/>
          <w:bCs/>
          <w:color w:val="auto"/>
        </w:rPr>
        <w:t xml:space="preserve"> </w:t>
      </w:r>
    </w:p>
    <w:p w14:paraId="73C44E93" w14:textId="77777777" w:rsidR="00A0623C" w:rsidRPr="007C63F3" w:rsidRDefault="00A0623C" w:rsidP="00796125">
      <w:pPr>
        <w:tabs>
          <w:tab w:val="left" w:pos="720"/>
        </w:tabs>
        <w:ind w:left="360"/>
      </w:pP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6</w:t>
      </w:r>
      <w:r w:rsidRPr="007C63F3">
        <w:rPr>
          <w:color w:val="auto"/>
        </w:rPr>
        <w:t xml:space="preserve">1= One </w:t>
      </w:r>
      <w:r w:rsidRPr="007C63F3">
        <w:t xml:space="preserve">Month Holding Period </w:t>
      </w:r>
      <w:r w:rsidRPr="007C63F3">
        <w:rPr>
          <w:b/>
          <w:bCs/>
        </w:rPr>
        <w:t>Not Statistically Significant</w:t>
      </w:r>
    </w:p>
    <w:p w14:paraId="4D075344" w14:textId="77777777" w:rsidR="00A0623C" w:rsidRPr="007C63F3" w:rsidRDefault="00A0623C" w:rsidP="00796125">
      <w:pPr>
        <w:tabs>
          <w:tab w:val="left" w:pos="720"/>
        </w:tabs>
        <w:ind w:left="360"/>
      </w:pP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6</w:t>
      </w:r>
      <w:r w:rsidRPr="007C63F3">
        <w:t>6 = Six Month Holding Period 0.49% average monthly return with 3.86 t-statistic</w:t>
      </w:r>
    </w:p>
    <w:p w14:paraId="2D1226E7" w14:textId="77777777" w:rsidR="00A0623C" w:rsidRPr="007C63F3" w:rsidRDefault="00A0623C" w:rsidP="00796125">
      <w:pPr>
        <w:tabs>
          <w:tab w:val="left" w:pos="720"/>
        </w:tabs>
        <w:ind w:left="360"/>
      </w:pP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6</w:t>
      </w:r>
      <w:r w:rsidRPr="007C63F3">
        <w:t>12= Twelve Month Holding Period 0.39% average monthly return with 3.92 t-statistic</w:t>
      </w:r>
    </w:p>
    <w:p w14:paraId="2C6B4589" w14:textId="2A32C12B" w:rsidR="00A0623C" w:rsidRPr="007C63F3" w:rsidRDefault="0036673D" w:rsidP="00796125">
      <w:pPr>
        <w:pStyle w:val="Heading3"/>
        <w:keepNext/>
        <w:widowControl/>
        <w:tabs>
          <w:tab w:val="left" w:pos="720"/>
        </w:tabs>
      </w:pPr>
      <w:r w:rsidRPr="007C63F3">
        <w:t xml:space="preserve">Residual Momentum </w:t>
      </w:r>
      <w:r w:rsidR="00A0623C" w:rsidRPr="007C63F3">
        <w:t xml:space="preserve">Eleven-month </w:t>
      </w:r>
    </w:p>
    <w:p w14:paraId="3C9B4C11" w14:textId="6C39CF43" w:rsidR="0036673D" w:rsidRDefault="0036673D" w:rsidP="00796125">
      <w:pPr>
        <w:tabs>
          <w:tab w:val="left" w:pos="720"/>
        </w:tabs>
      </w:pPr>
      <w:r>
        <w:t>We split all stocks into deciles at the beginning of each month t based on their prior six-month average residual returns from month t − 7 to t − 2 scaled by their standard deviation over the same period. Skipping month t − 1, we calculate monthly decile returns for month t (</w:t>
      </w: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11</w:t>
      </w:r>
      <w:r>
        <w:t>1), from month t to t + 5 (</w:t>
      </w: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11</w:t>
      </w:r>
      <w:r w:rsidRPr="007C63F3">
        <w:t>6</w:t>
      </w:r>
      <w:r>
        <w:t>), and from month t to t + 11 (</w:t>
      </w: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11</w:t>
      </w:r>
      <w:r>
        <w:t xml:space="preserve">12). Residual returns are estimated each month for all stocks over the prior 36 months from month t−36 to month t−1 from </w:t>
      </w:r>
      <w:r w:rsidRPr="0036673D">
        <w:rPr>
          <w:b/>
          <w:bCs/>
        </w:rPr>
        <w:t>regressing stock excess returns on the Fama-French three factors</w:t>
      </w:r>
      <w:r>
        <w:t xml:space="preserve">. To reduce the noisiness of the estimation, we require returns to be available for all prior 36 months. All the deciles are rebalanced at the beginning of month t + 1. The holding period that is longer than 1 month as in </w:t>
      </w: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11</w:t>
      </w:r>
      <w:r w:rsidRPr="007C63F3">
        <w:t>6</w:t>
      </w:r>
      <w:r>
        <w:t xml:space="preserve"> means that for a given decile in each month there exist six </w:t>
      </w:r>
      <w:proofErr w:type="spellStart"/>
      <w:r>
        <w:t>subdeciles</w:t>
      </w:r>
      <w:proofErr w:type="spellEnd"/>
      <w:r>
        <w:t xml:space="preserve">, each of which is initiated in a different month in the prior six-month period. We take the simple average of the </w:t>
      </w:r>
      <w:proofErr w:type="spellStart"/>
      <w:r>
        <w:t>subdecile</w:t>
      </w:r>
      <w:proofErr w:type="spellEnd"/>
      <w:r>
        <w:t xml:space="preserve"> returns as the monthly return of the </w:t>
      </w: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11</w:t>
      </w:r>
      <w:r w:rsidRPr="007C63F3">
        <w:t>6</w:t>
      </w:r>
      <w:r>
        <w:t xml:space="preserve"> decile.</w:t>
      </w:r>
    </w:p>
    <w:p w14:paraId="2A57558A" w14:textId="6A899EBB" w:rsidR="00A0623C" w:rsidRPr="007C63F3" w:rsidRDefault="00A0623C" w:rsidP="00796125">
      <w:pPr>
        <w:pStyle w:val="NoSpacing"/>
        <w:tabs>
          <w:tab w:val="left" w:pos="720"/>
        </w:tabs>
        <w:spacing w:before="120"/>
      </w:pPr>
      <w:r w:rsidRPr="007C63F3">
        <w:t>based on their prior 11-month residual returns from month t−12 to t−2 scaled by their standard deviation over the same period. Skipping month t−1</w:t>
      </w:r>
    </w:p>
    <w:p w14:paraId="73794E85" w14:textId="77777777" w:rsidR="00A0623C" w:rsidRPr="007C63F3" w:rsidRDefault="00A0623C" w:rsidP="00796125">
      <w:pPr>
        <w:pStyle w:val="NoSpacing"/>
        <w:tabs>
          <w:tab w:val="left" w:pos="720"/>
        </w:tabs>
        <w:spacing w:before="120"/>
      </w:pPr>
      <w:r w:rsidRPr="00215DAA">
        <w:rPr>
          <w:b/>
          <w:bCs/>
          <w:color w:val="auto"/>
        </w:rPr>
        <w:t xml:space="preserve">Zhang </w:t>
      </w:r>
      <w:r w:rsidRPr="007C63F3">
        <w:rPr>
          <w:b/>
          <w:bCs/>
        </w:rPr>
        <w:t xml:space="preserve">Statistical Results: </w:t>
      </w:r>
      <w:r w:rsidRPr="007C63F3">
        <w:rPr>
          <w:b/>
          <w:bCs/>
          <w:color w:val="00B050"/>
        </w:rPr>
        <w:t>Very Significant (t</w:t>
      </w:r>
      <w:r>
        <w:rPr>
          <w:b/>
          <w:bCs/>
          <w:color w:val="00B050"/>
        </w:rPr>
        <w:t>-</w:t>
      </w:r>
      <w:r w:rsidRPr="007C63F3">
        <w:rPr>
          <w:b/>
          <w:bCs/>
          <w:color w:val="00B050"/>
        </w:rPr>
        <w:t xml:space="preserve">test </w:t>
      </w:r>
      <w:r w:rsidRPr="00505332">
        <w:rPr>
          <w:b/>
          <w:bCs/>
          <w:color w:val="00B050"/>
        </w:rPr>
        <w:t>≥</w:t>
      </w:r>
      <w:r w:rsidRPr="007C63F3">
        <w:rPr>
          <w:b/>
          <w:bCs/>
          <w:color w:val="00B050"/>
        </w:rPr>
        <w:t xml:space="preserve"> 3)more than 99% confident at 1- and 6-month period.</w:t>
      </w:r>
    </w:p>
    <w:p w14:paraId="0FC637C9" w14:textId="77777777" w:rsidR="00A0623C" w:rsidRPr="007C63F3" w:rsidRDefault="00A0623C" w:rsidP="00796125">
      <w:pPr>
        <w:tabs>
          <w:tab w:val="left" w:pos="720"/>
        </w:tabs>
        <w:ind w:left="360"/>
      </w:pP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11</w:t>
      </w:r>
      <w:r w:rsidRPr="007C63F3">
        <w:rPr>
          <w:color w:val="auto"/>
        </w:rPr>
        <w:t xml:space="preserve">1= One </w:t>
      </w:r>
      <w:r w:rsidRPr="007C63F3">
        <w:t>Month Holding Period 0.67% average monthly return with 3.91 t-statistic</w:t>
      </w:r>
    </w:p>
    <w:p w14:paraId="4256CA0C" w14:textId="77777777" w:rsidR="00A0623C" w:rsidRPr="007C63F3" w:rsidRDefault="00A0623C" w:rsidP="00796125">
      <w:pPr>
        <w:tabs>
          <w:tab w:val="left" w:pos="720"/>
        </w:tabs>
        <w:ind w:left="360"/>
      </w:pP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11</w:t>
      </w:r>
      <w:r w:rsidRPr="007C63F3">
        <w:t>6 = Six Month Holding Period 0.55% average monthly return with 3.94 t-statistic</w:t>
      </w:r>
    </w:p>
    <w:p w14:paraId="169218C3" w14:textId="77777777" w:rsidR="00A0623C" w:rsidRPr="007C63F3" w:rsidRDefault="00A0623C" w:rsidP="00796125">
      <w:pPr>
        <w:tabs>
          <w:tab w:val="left" w:pos="720"/>
        </w:tabs>
        <w:ind w:left="360"/>
      </w:pPr>
      <w:r w:rsidRPr="007C63F3">
        <w:rPr>
          <w:rFonts w:ascii="Roboto" w:hAnsi="Roboto"/>
          <w:color w:val="auto"/>
          <w:sz w:val="21"/>
          <w:szCs w:val="21"/>
          <w:shd w:val="clear" w:color="auto" w:fill="FFFFFF"/>
        </w:rPr>
        <w:t>ε</w:t>
      </w:r>
      <w:r w:rsidRPr="007C63F3">
        <w:rPr>
          <w:rFonts w:ascii="Roboto" w:hAnsi="Roboto"/>
          <w:color w:val="auto"/>
          <w:sz w:val="21"/>
          <w:szCs w:val="21"/>
          <w:shd w:val="clear" w:color="auto" w:fill="FFFFFF"/>
          <w:vertAlign w:val="superscript"/>
        </w:rPr>
        <w:t>11</w:t>
      </w:r>
      <w:r w:rsidRPr="007C63F3">
        <w:t>12= Twelve Month Holding Period</w:t>
      </w:r>
      <w:r w:rsidRPr="007C63F3">
        <w:rPr>
          <w:b/>
          <w:bCs/>
        </w:rPr>
        <w:t xml:space="preserve"> </w:t>
      </w:r>
      <w:r w:rsidRPr="007C63F3">
        <w:t>0.36% average monthly return with 2.96 t-statistic</w:t>
      </w:r>
    </w:p>
    <w:p w14:paraId="5EECEEC8" w14:textId="64D09F7B" w:rsidR="00816C86" w:rsidRPr="00215DAA" w:rsidRDefault="0050509F" w:rsidP="00796125">
      <w:pPr>
        <w:pStyle w:val="Heading2"/>
        <w:tabs>
          <w:tab w:val="left" w:pos="720"/>
        </w:tabs>
      </w:pPr>
      <w:r>
        <w:t xml:space="preserve">Select Value </w:t>
      </w:r>
      <w:r w:rsidR="00215DAA" w:rsidRPr="00215DAA">
        <w:t>Anomalies</w:t>
      </w:r>
    </w:p>
    <w:p w14:paraId="4D25C03F" w14:textId="77777777" w:rsidR="0014577F" w:rsidRDefault="0014577F" w:rsidP="00796125">
      <w:pPr>
        <w:pStyle w:val="Heading3"/>
        <w:tabs>
          <w:tab w:val="left" w:pos="720"/>
        </w:tabs>
      </w:pPr>
      <w:r>
        <w:t>Background</w:t>
      </w:r>
    </w:p>
    <w:p w14:paraId="4C37AE41" w14:textId="412A5D42" w:rsidR="00EA265F" w:rsidRDefault="00EA265F" w:rsidP="00796125">
      <w:pPr>
        <w:tabs>
          <w:tab w:val="left" w:pos="720"/>
        </w:tabs>
        <w:spacing w:before="60"/>
      </w:pPr>
      <w:r>
        <w:t>Value is perhaps the most famous factor, is the tendency for relatively cheap stocks to outperform relatively expensive stocks over time. This factor has been around for almost a century, beginning with the “father of value investing,” Columbia Professor Benjamin Graham. His ground-breaking works “Security Analysis” (1934) and “The Intelligent Investor” (1949) laid the groundwork for the value investing philosophy.</w:t>
      </w:r>
    </w:p>
    <w:p w14:paraId="4E1E9FFB" w14:textId="2722356C" w:rsidR="00F33FC0" w:rsidRPr="006E7EFF" w:rsidRDefault="00F33FC0" w:rsidP="00796125">
      <w:pPr>
        <w:tabs>
          <w:tab w:val="left" w:pos="720"/>
        </w:tabs>
        <w:spacing w:before="60"/>
      </w:pPr>
      <w:r w:rsidRPr="006E7EFF">
        <w:t xml:space="preserve">While there </w:t>
      </w:r>
      <w:r w:rsidRPr="00F33FC0">
        <w:t xml:space="preserve">were </w:t>
      </w:r>
      <w:r w:rsidRPr="00F33FC0">
        <w:rPr>
          <w:b/>
          <w:bCs/>
        </w:rPr>
        <w:t>31 significant value-versus-growth anomalies</w:t>
      </w:r>
      <w:r w:rsidRPr="00F33FC0">
        <w:t xml:space="preserve"> in th</w:t>
      </w:r>
      <w:r w:rsidRPr="006E7EFF">
        <w:t>e paper, we are only going to analyze a handful in greater detail</w:t>
      </w:r>
      <w:r>
        <w:t>. Primarily those with very high t-tests or high average returns</w:t>
      </w:r>
    </w:p>
    <w:p w14:paraId="6B1D6D4B" w14:textId="358ABA94" w:rsidR="00C159D7" w:rsidRDefault="00C159D7" w:rsidP="00796125">
      <w:pPr>
        <w:pStyle w:val="ListParagraph"/>
        <w:numPr>
          <w:ilvl w:val="0"/>
          <w:numId w:val="20"/>
        </w:numPr>
        <w:tabs>
          <w:tab w:val="left" w:pos="720"/>
        </w:tabs>
        <w:spacing w:before="60"/>
      </w:pPr>
      <w:r>
        <w:t>Earnings to Price</w:t>
      </w:r>
    </w:p>
    <w:p w14:paraId="26247D35" w14:textId="0B676DCC" w:rsidR="00C159D7" w:rsidRDefault="00C159D7" w:rsidP="00796125">
      <w:pPr>
        <w:pStyle w:val="ListParagraph"/>
        <w:numPr>
          <w:ilvl w:val="0"/>
          <w:numId w:val="20"/>
        </w:numPr>
        <w:tabs>
          <w:tab w:val="left" w:pos="720"/>
        </w:tabs>
        <w:spacing w:before="60"/>
      </w:pPr>
      <w:r>
        <w:t>Cash flow-to-price</w:t>
      </w:r>
    </w:p>
    <w:p w14:paraId="6CB7F39D" w14:textId="77777777" w:rsidR="00C159D7" w:rsidRDefault="00C159D7" w:rsidP="00796125">
      <w:pPr>
        <w:pStyle w:val="ListParagraph"/>
        <w:numPr>
          <w:ilvl w:val="0"/>
          <w:numId w:val="20"/>
        </w:numPr>
        <w:tabs>
          <w:tab w:val="left" w:pos="720"/>
        </w:tabs>
        <w:spacing w:before="60"/>
      </w:pPr>
      <w:r>
        <w:t>Enterprise Multiple</w:t>
      </w:r>
    </w:p>
    <w:p w14:paraId="176B1164" w14:textId="79E454D6" w:rsidR="00F33FC0" w:rsidRDefault="00F33FC0" w:rsidP="00796125">
      <w:pPr>
        <w:pStyle w:val="ListParagraph"/>
        <w:numPr>
          <w:ilvl w:val="0"/>
          <w:numId w:val="20"/>
        </w:numPr>
        <w:tabs>
          <w:tab w:val="left" w:pos="720"/>
        </w:tabs>
        <w:spacing w:before="60"/>
      </w:pPr>
      <w:r>
        <w:t>Sales to Price</w:t>
      </w:r>
    </w:p>
    <w:p w14:paraId="3E958A79" w14:textId="77777777" w:rsidR="00C159D7" w:rsidRPr="00E019B9" w:rsidRDefault="00C159D7" w:rsidP="00796125">
      <w:pPr>
        <w:pStyle w:val="Heading3"/>
        <w:keepNext/>
        <w:widowControl/>
        <w:tabs>
          <w:tab w:val="left" w:pos="720"/>
        </w:tabs>
      </w:pPr>
      <w:r w:rsidRPr="00E019B9">
        <w:lastRenderedPageBreak/>
        <w:t>Earnings to Price = Income before Extraordinary Items / Market Cap</w:t>
      </w:r>
    </w:p>
    <w:p w14:paraId="09EE1901" w14:textId="77777777" w:rsidR="00C159D7" w:rsidRDefault="00C159D7" w:rsidP="00796125">
      <w:pPr>
        <w:tabs>
          <w:tab w:val="left" w:pos="720"/>
        </w:tabs>
      </w:pPr>
      <w:r w:rsidRPr="007C63F3">
        <w:rPr>
          <w:color w:val="auto"/>
        </w:rPr>
        <w:t xml:space="preserve">The academic work on Earnings to Price comes from comes </w:t>
      </w:r>
      <w:r>
        <w:t xml:space="preserve">from </w:t>
      </w:r>
      <w:proofErr w:type="spellStart"/>
      <w:r>
        <w:t>Basu</w:t>
      </w:r>
      <w:proofErr w:type="spellEnd"/>
      <w:r>
        <w:t xml:space="preserve"> (1983)</w:t>
      </w:r>
    </w:p>
    <w:p w14:paraId="1363150C" w14:textId="3C5C21D5" w:rsidR="00C159D7" w:rsidRDefault="00C159D7" w:rsidP="00796125">
      <w:pPr>
        <w:pStyle w:val="NoSpacing"/>
        <w:tabs>
          <w:tab w:val="left" w:pos="720"/>
        </w:tabs>
        <w:spacing w:before="120"/>
      </w:pPr>
      <w:proofErr w:type="spellStart"/>
      <w:r>
        <w:t>Epq</w:t>
      </w:r>
      <w:proofErr w:type="spellEnd"/>
      <w:r>
        <w:t xml:space="preserve"> , which is income before extraordinary items (</w:t>
      </w:r>
      <w:proofErr w:type="spellStart"/>
      <w:r>
        <w:t>Compustat</w:t>
      </w:r>
      <w:proofErr w:type="spellEnd"/>
      <w:r>
        <w:t xml:space="preserve"> quarterly item IBQ) divided by the market equity (from CRSP) at the end of month t − 1.</w:t>
      </w:r>
    </w:p>
    <w:p w14:paraId="5B2B239B" w14:textId="77777777" w:rsidR="00C159D7" w:rsidRPr="004D3597" w:rsidRDefault="00C159D7" w:rsidP="00796125">
      <w:pPr>
        <w:pStyle w:val="NoSpacing"/>
        <w:tabs>
          <w:tab w:val="left" w:pos="720"/>
        </w:tabs>
        <w:spacing w:before="120"/>
        <w:rPr>
          <w:b/>
          <w:bCs/>
        </w:rPr>
      </w:pPr>
      <w:r w:rsidRPr="007C63F3">
        <w:t>Reuters/Refinitiv Fields: TR</w:t>
      </w:r>
      <w:r w:rsidRPr="002D1475">
        <w:t xml:space="preserve">.F.INCBEFDISCOPSEXORDITEMS </w:t>
      </w:r>
      <w:r w:rsidRPr="00407B5A">
        <w:t xml:space="preserve">/ TR. </w:t>
      </w:r>
      <w:proofErr w:type="spellStart"/>
      <w:r w:rsidRPr="00407B5A">
        <w:t>CompanyMarketCap</w:t>
      </w:r>
      <w:proofErr w:type="spellEnd"/>
    </w:p>
    <w:p w14:paraId="2101DEA2" w14:textId="77777777" w:rsidR="00C159D7" w:rsidRDefault="00C159D7" w:rsidP="00796125">
      <w:pPr>
        <w:tabs>
          <w:tab w:val="left" w:pos="720"/>
        </w:tabs>
      </w:pPr>
      <w:r>
        <w:t>[Firms with negative EPS are excluded]</w:t>
      </w:r>
    </w:p>
    <w:p w14:paraId="5FC6A0DA" w14:textId="77777777" w:rsidR="00C159D7" w:rsidRPr="007C63F3" w:rsidRDefault="00C159D7" w:rsidP="00796125">
      <w:pPr>
        <w:tabs>
          <w:tab w:val="left" w:pos="720"/>
        </w:tabs>
        <w:rPr>
          <w:b/>
          <w:bCs/>
          <w:color w:val="auto"/>
        </w:rPr>
      </w:pPr>
      <w:r w:rsidRPr="00215DAA">
        <w:rPr>
          <w:b/>
          <w:bCs/>
          <w:color w:val="auto"/>
        </w:rPr>
        <w:t xml:space="preserve">Zhang </w:t>
      </w:r>
      <w:r w:rsidRPr="007C63F3">
        <w:rPr>
          <w:b/>
          <w:bCs/>
          <w:color w:val="auto"/>
        </w:rPr>
        <w:t xml:space="preserve">Statistical Results: </w:t>
      </w:r>
      <w:r w:rsidRPr="007C63F3">
        <w:rPr>
          <w:rFonts w:cs="Mangal"/>
          <w:b/>
          <w:bCs/>
          <w:color w:val="00B050"/>
          <w:szCs w:val="20"/>
        </w:rPr>
        <w:t>Very Significant (t</w:t>
      </w:r>
      <w:r>
        <w:rPr>
          <w:rFonts w:cs="Mangal"/>
          <w:b/>
          <w:bCs/>
          <w:color w:val="00B050"/>
          <w:szCs w:val="20"/>
        </w:rPr>
        <w:t>-</w:t>
      </w:r>
      <w:r w:rsidRPr="007C63F3">
        <w:rPr>
          <w:rFonts w:cs="Mangal"/>
          <w:b/>
          <w:bCs/>
          <w:color w:val="00B050"/>
          <w:szCs w:val="20"/>
        </w:rPr>
        <w:t xml:space="preserve">test </w:t>
      </w:r>
      <w:r w:rsidRPr="00505332">
        <w:rPr>
          <w:b/>
          <w:bCs/>
          <w:color w:val="00B050"/>
        </w:rPr>
        <w:t>≥</w:t>
      </w:r>
      <w:r w:rsidRPr="007C63F3">
        <w:rPr>
          <w:rFonts w:cs="Mangal"/>
          <w:b/>
          <w:bCs/>
          <w:color w:val="00B050"/>
          <w:szCs w:val="20"/>
        </w:rPr>
        <w:t xml:space="preserve"> 3) more than 99% confident</w:t>
      </w:r>
      <w:r>
        <w:rPr>
          <w:rFonts w:cs="Mangal"/>
          <w:b/>
          <w:bCs/>
          <w:color w:val="00B050"/>
          <w:szCs w:val="20"/>
        </w:rPr>
        <w:t xml:space="preserve"> at 1- and 6-month period.</w:t>
      </w:r>
      <w:r w:rsidRPr="007C63F3">
        <w:rPr>
          <w:b/>
          <w:bCs/>
          <w:color w:val="auto"/>
        </w:rPr>
        <w:t xml:space="preserve"> </w:t>
      </w:r>
    </w:p>
    <w:p w14:paraId="6215A748" w14:textId="77777777" w:rsidR="00C159D7" w:rsidRPr="007C63F3" w:rsidRDefault="00C159D7" w:rsidP="00796125">
      <w:pPr>
        <w:tabs>
          <w:tab w:val="left" w:pos="720"/>
        </w:tabs>
        <w:ind w:left="360"/>
      </w:pPr>
      <w:r w:rsidRPr="007C63F3">
        <w:t>Ep</w:t>
      </w:r>
      <w:r w:rsidRPr="007C63F3">
        <w:rPr>
          <w:vertAlign w:val="superscript"/>
        </w:rPr>
        <w:t>q</w:t>
      </w:r>
      <w:r w:rsidRPr="007C63F3">
        <w:t>1 = One Month Holding Period 0.98% average monthly return with 5.08 t-statistic</w:t>
      </w:r>
    </w:p>
    <w:p w14:paraId="73BF580F" w14:textId="77777777" w:rsidR="00C159D7" w:rsidRPr="007C63F3" w:rsidRDefault="00C159D7" w:rsidP="00796125">
      <w:pPr>
        <w:tabs>
          <w:tab w:val="left" w:pos="720"/>
        </w:tabs>
        <w:ind w:left="360"/>
      </w:pPr>
      <w:r w:rsidRPr="007C63F3">
        <w:t>Ep</w:t>
      </w:r>
      <w:r w:rsidRPr="007C63F3">
        <w:rPr>
          <w:vertAlign w:val="superscript"/>
        </w:rPr>
        <w:t>q</w:t>
      </w:r>
      <w:r w:rsidRPr="007C63F3">
        <w:t>6 = Six Month Holding Period 0.65% average monthly return with 3.69 t-statistic</w:t>
      </w:r>
    </w:p>
    <w:p w14:paraId="0EA22EAA" w14:textId="77777777" w:rsidR="00C159D7" w:rsidRDefault="00C159D7" w:rsidP="00796125">
      <w:pPr>
        <w:tabs>
          <w:tab w:val="left" w:pos="720"/>
        </w:tabs>
        <w:ind w:left="360"/>
      </w:pPr>
      <w:r w:rsidRPr="007C63F3">
        <w:t>Ep</w:t>
      </w:r>
      <w:r w:rsidRPr="007C63F3">
        <w:rPr>
          <w:vertAlign w:val="superscript"/>
        </w:rPr>
        <w:t>q</w:t>
      </w:r>
      <w:r w:rsidRPr="007C63F3">
        <w:t>12 = 12 Month Holding Period 0.49% average monthly return with 2.93 t-statistic</w:t>
      </w:r>
    </w:p>
    <w:p w14:paraId="096D67C8" w14:textId="77777777" w:rsidR="00C159D7" w:rsidRDefault="00C159D7" w:rsidP="00796125">
      <w:pPr>
        <w:pStyle w:val="Heading3"/>
        <w:keepNext/>
        <w:widowControl/>
        <w:tabs>
          <w:tab w:val="left" w:pos="720"/>
        </w:tabs>
      </w:pPr>
      <w:r>
        <w:t>Cash flow-to-price</w:t>
      </w:r>
      <w:r w:rsidRPr="003428CB">
        <w:t xml:space="preserve"> </w:t>
      </w:r>
    </w:p>
    <w:p w14:paraId="09E9451B" w14:textId="2634B14D" w:rsidR="00C159D7" w:rsidRDefault="00C159D7" w:rsidP="00796125">
      <w:pPr>
        <w:tabs>
          <w:tab w:val="left" w:pos="720"/>
        </w:tabs>
      </w:pPr>
      <w:proofErr w:type="spellStart"/>
      <w:r>
        <w:t>Lakonishok</w:t>
      </w:r>
      <w:proofErr w:type="spellEnd"/>
      <w:r>
        <w:t xml:space="preserve">, Shleifer, and </w:t>
      </w:r>
      <w:proofErr w:type="spellStart"/>
      <w:r>
        <w:t>Vishny</w:t>
      </w:r>
      <w:proofErr w:type="spellEnd"/>
      <w:r>
        <w:t xml:space="preserve"> (1994)</w:t>
      </w:r>
    </w:p>
    <w:p w14:paraId="4E829922" w14:textId="2E0AFAE1" w:rsidR="00C159D7" w:rsidRDefault="00C159D7" w:rsidP="00796125">
      <w:pPr>
        <w:tabs>
          <w:tab w:val="left" w:pos="720"/>
        </w:tabs>
      </w:pPr>
      <w:r>
        <w:t xml:space="preserve">At the beginning of each month t, we split stocks into deciles based on quarterly cash flow-to-price, </w:t>
      </w:r>
      <w:proofErr w:type="spellStart"/>
      <w:r>
        <w:t>Cpq</w:t>
      </w:r>
      <w:proofErr w:type="spellEnd"/>
      <w:r>
        <w:t xml:space="preserve"> , which is cash flows for the latest fiscal quarter ending at least four months ago divided by the market equity (from CRSP) at the end of month t − 1. Quarterly cash flows are income before extraordinary items (</w:t>
      </w:r>
      <w:proofErr w:type="spellStart"/>
      <w:r>
        <w:t>Compustat</w:t>
      </w:r>
      <w:proofErr w:type="spellEnd"/>
      <w:r>
        <w:t xml:space="preserve"> quarterly item IBQ) plus depreciation (item DPQ). For firms with more than one share class, we merge the market equity for all share classes before computing </w:t>
      </w:r>
      <w:proofErr w:type="spellStart"/>
      <w:r>
        <w:t>Cpq</w:t>
      </w:r>
      <w:proofErr w:type="spellEnd"/>
      <w:r>
        <w:t xml:space="preserve"> . Firms with non-positive cash flows are excluded. We calculate decile returns for the current month t (Epq1), from month t to t + 5 (Epq6), and from month t to t + 11 (Epq12), and the deciles are rebalanced at the beginning of month t + 1. The holding period longer than one month as in, for instance, Epq6, means that for a given decile in each month there exist six </w:t>
      </w:r>
      <w:proofErr w:type="spellStart"/>
      <w:r>
        <w:t>subdeciles</w:t>
      </w:r>
      <w:proofErr w:type="spellEnd"/>
      <w:r>
        <w:t xml:space="preserve">, each of which is initiated in a different month in the prior six months. We take the simple average of the </w:t>
      </w:r>
      <w:proofErr w:type="spellStart"/>
      <w:r>
        <w:t>subdecile</w:t>
      </w:r>
      <w:proofErr w:type="spellEnd"/>
      <w:r>
        <w:t xml:space="preserve"> returns as the monthly return of the Epq6 decile.</w:t>
      </w:r>
    </w:p>
    <w:p w14:paraId="2B3CDC84" w14:textId="77777777" w:rsidR="00C159D7" w:rsidRPr="007C63F3" w:rsidRDefault="00C159D7" w:rsidP="00796125">
      <w:pPr>
        <w:tabs>
          <w:tab w:val="left" w:pos="720"/>
        </w:tabs>
        <w:rPr>
          <w:b/>
          <w:bCs/>
          <w:color w:val="auto"/>
        </w:rPr>
      </w:pPr>
      <w:r w:rsidRPr="00215DAA">
        <w:rPr>
          <w:b/>
          <w:bCs/>
          <w:color w:val="auto"/>
        </w:rPr>
        <w:t xml:space="preserve">Zhang </w:t>
      </w:r>
      <w:r w:rsidRPr="007C63F3">
        <w:rPr>
          <w:b/>
          <w:bCs/>
          <w:color w:val="auto"/>
        </w:rPr>
        <w:t xml:space="preserve">Statistical Results: </w:t>
      </w:r>
      <w:r w:rsidRPr="007C63F3">
        <w:rPr>
          <w:rFonts w:cs="Mangal"/>
          <w:b/>
          <w:bCs/>
          <w:color w:val="00B050"/>
          <w:szCs w:val="20"/>
        </w:rPr>
        <w:t>Significant at the 95% confidence level</w:t>
      </w:r>
      <w:r>
        <w:rPr>
          <w:rFonts w:cs="Mangal"/>
          <w:b/>
          <w:bCs/>
          <w:color w:val="00B050"/>
          <w:szCs w:val="20"/>
        </w:rPr>
        <w:t xml:space="preserve"> across all 3 holding periods.</w:t>
      </w:r>
    </w:p>
    <w:p w14:paraId="686B6902" w14:textId="1EA74C62" w:rsidR="00C159D7" w:rsidRPr="00C159D7" w:rsidRDefault="00C159D7" w:rsidP="00796125">
      <w:pPr>
        <w:tabs>
          <w:tab w:val="left" w:pos="720"/>
        </w:tabs>
        <w:ind w:left="360"/>
        <w:rPr>
          <w:color w:val="auto"/>
        </w:rPr>
      </w:pPr>
      <w:r w:rsidRPr="00C159D7">
        <w:rPr>
          <w:color w:val="auto"/>
        </w:rPr>
        <w:t>Cpq1 = One Month Holding Period 0.</w:t>
      </w:r>
      <w:r>
        <w:rPr>
          <w:color w:val="auto"/>
        </w:rPr>
        <w:t>69</w:t>
      </w:r>
      <w:r w:rsidRPr="00C159D7">
        <w:rPr>
          <w:color w:val="auto"/>
        </w:rPr>
        <w:t xml:space="preserve">% average monthly return with </w:t>
      </w:r>
      <w:r>
        <w:rPr>
          <w:color w:val="auto"/>
        </w:rPr>
        <w:t>3.25</w:t>
      </w:r>
      <w:r w:rsidRPr="00C159D7">
        <w:rPr>
          <w:color w:val="auto"/>
        </w:rPr>
        <w:t xml:space="preserve"> t-statistic</w:t>
      </w:r>
    </w:p>
    <w:p w14:paraId="21FCB6D4" w14:textId="5B314033" w:rsidR="00C159D7" w:rsidRPr="00C159D7" w:rsidRDefault="00C159D7" w:rsidP="00796125">
      <w:pPr>
        <w:tabs>
          <w:tab w:val="left" w:pos="720"/>
        </w:tabs>
        <w:ind w:left="360"/>
        <w:rPr>
          <w:color w:val="auto"/>
        </w:rPr>
      </w:pPr>
      <w:r w:rsidRPr="00C159D7">
        <w:rPr>
          <w:color w:val="auto"/>
        </w:rPr>
        <w:t>Cpq6 = Six Month Holding Period 0.</w:t>
      </w:r>
      <w:r>
        <w:rPr>
          <w:color w:val="auto"/>
        </w:rPr>
        <w:t>55</w:t>
      </w:r>
      <w:r w:rsidRPr="00C159D7">
        <w:rPr>
          <w:color w:val="auto"/>
        </w:rPr>
        <w:t>% average monthly return with 2.</w:t>
      </w:r>
      <w:r>
        <w:rPr>
          <w:color w:val="auto"/>
        </w:rPr>
        <w:t>77</w:t>
      </w:r>
      <w:r w:rsidRPr="00C159D7">
        <w:rPr>
          <w:color w:val="auto"/>
        </w:rPr>
        <w:t xml:space="preserve"> t-statistic</w:t>
      </w:r>
    </w:p>
    <w:p w14:paraId="77011973" w14:textId="43EE40B1" w:rsidR="00C159D7" w:rsidRPr="007C63F3" w:rsidRDefault="00C159D7" w:rsidP="00796125">
      <w:pPr>
        <w:tabs>
          <w:tab w:val="left" w:pos="720"/>
        </w:tabs>
        <w:ind w:left="360"/>
        <w:rPr>
          <w:color w:val="auto"/>
        </w:rPr>
      </w:pPr>
      <w:r w:rsidRPr="00C159D7">
        <w:rPr>
          <w:color w:val="auto"/>
        </w:rPr>
        <w:t>Cpq12 = 12 Month Holding</w:t>
      </w:r>
      <w:r w:rsidRPr="007C63F3">
        <w:rPr>
          <w:color w:val="auto"/>
        </w:rPr>
        <w:t xml:space="preserve"> Period 0.</w:t>
      </w:r>
      <w:r>
        <w:rPr>
          <w:color w:val="auto"/>
        </w:rPr>
        <w:t>45</w:t>
      </w:r>
      <w:r w:rsidRPr="007C63F3">
        <w:rPr>
          <w:color w:val="auto"/>
        </w:rPr>
        <w:t>% average monthly return with 2.</w:t>
      </w:r>
      <w:r>
        <w:rPr>
          <w:color w:val="auto"/>
        </w:rPr>
        <w:t>44</w:t>
      </w:r>
      <w:r w:rsidRPr="007C63F3">
        <w:rPr>
          <w:color w:val="auto"/>
        </w:rPr>
        <w:t xml:space="preserve"> t-statistic</w:t>
      </w:r>
    </w:p>
    <w:p w14:paraId="1BCB891A" w14:textId="77777777" w:rsidR="00C159D7" w:rsidRDefault="00C159D7" w:rsidP="00796125">
      <w:pPr>
        <w:pStyle w:val="Heading3"/>
        <w:keepNext/>
        <w:widowControl/>
        <w:tabs>
          <w:tab w:val="left" w:pos="720"/>
        </w:tabs>
      </w:pPr>
      <w:r w:rsidRPr="003428CB">
        <w:t>Enterprise Multiple</w:t>
      </w:r>
      <w:r>
        <w:t xml:space="preserve"> = (Operating Profit – Total </w:t>
      </w:r>
      <w:r w:rsidRPr="00B853CC">
        <w:t>Depreciation</w:t>
      </w:r>
      <w:r>
        <w:t>) / EV</w:t>
      </w:r>
    </w:p>
    <w:p w14:paraId="6A5774FF" w14:textId="77777777" w:rsidR="00C159D7" w:rsidRDefault="00C159D7" w:rsidP="00796125">
      <w:pPr>
        <w:pStyle w:val="NoSpacing"/>
        <w:tabs>
          <w:tab w:val="left" w:pos="720"/>
        </w:tabs>
        <w:spacing w:before="120"/>
      </w:pPr>
      <w:r>
        <w:t>Enterprise Multiple (</w:t>
      </w:r>
      <w:bookmarkStart w:id="4" w:name="_Hlk128056704"/>
      <w:r>
        <w:t xml:space="preserve">Operating Profit </w:t>
      </w:r>
      <w:bookmarkEnd w:id="4"/>
      <w:r>
        <w:t xml:space="preserve">/ Enterprise Value) is very similar to </w:t>
      </w:r>
      <w:r w:rsidRPr="00EA265F">
        <w:t xml:space="preserve">EBIT </w:t>
      </w:r>
      <w:r>
        <w:t xml:space="preserve">to </w:t>
      </w:r>
      <w:r w:rsidRPr="00EA265F">
        <w:t>Enterprise Value</w:t>
      </w:r>
      <w:r>
        <w:t xml:space="preserve">. The primary difference being EBIT does not remove deprecation from COGS. </w:t>
      </w:r>
      <w:r w:rsidRPr="00EA265F">
        <w:t xml:space="preserve">EBIT </w:t>
      </w:r>
      <w:r>
        <w:t xml:space="preserve">to </w:t>
      </w:r>
      <w:r w:rsidRPr="00EA265F">
        <w:t xml:space="preserve">Enterprise Value </w:t>
      </w:r>
      <w:r>
        <w:t xml:space="preserve">metric </w:t>
      </w:r>
      <w:r w:rsidRPr="00EA265F">
        <w:t>was popularized by Joel Greenblatt, in his work “The Little Book That Beats The Market.”</w:t>
      </w:r>
      <w:r>
        <w:t xml:space="preserve"> </w:t>
      </w:r>
      <w:r w:rsidRPr="003428CB">
        <w:t xml:space="preserve">The academic work on </w:t>
      </w:r>
      <w:r>
        <w:t>Enterprise Multiple comes from Loughran and Wellman (2011).</w:t>
      </w:r>
    </w:p>
    <w:p w14:paraId="38305093" w14:textId="77777777" w:rsidR="00C159D7" w:rsidRPr="007C63F3" w:rsidRDefault="00C159D7" w:rsidP="00796125">
      <w:pPr>
        <w:pStyle w:val="NoSpacing"/>
        <w:tabs>
          <w:tab w:val="left" w:pos="720"/>
        </w:tabs>
        <w:spacing w:before="120"/>
      </w:pPr>
      <w:r w:rsidRPr="007C63F3">
        <w:t>Reuters/Refinitiv Fields: (TR.F.OPPROFBEFNONRECURINCEXPN - TR.F.DEPRDEPLAMORTTOT) / TR.EV</w:t>
      </w:r>
    </w:p>
    <w:p w14:paraId="308FED7F" w14:textId="77777777" w:rsidR="00C159D7" w:rsidRDefault="00C159D7" w:rsidP="00796125">
      <w:pPr>
        <w:pStyle w:val="NoSpacing"/>
        <w:tabs>
          <w:tab w:val="left" w:pos="720"/>
        </w:tabs>
        <w:spacing w:before="120"/>
      </w:pPr>
      <w:r w:rsidRPr="007C63F3">
        <w:t>[Firms with negative EPS</w:t>
      </w:r>
      <w:r>
        <w:t xml:space="preserve"> are excluded]</w:t>
      </w:r>
    </w:p>
    <w:p w14:paraId="1C96EFAA" w14:textId="77777777" w:rsidR="00C159D7" w:rsidRPr="007C63F3" w:rsidRDefault="00C159D7" w:rsidP="00796125">
      <w:pPr>
        <w:tabs>
          <w:tab w:val="left" w:pos="720"/>
        </w:tabs>
        <w:rPr>
          <w:b/>
          <w:bCs/>
        </w:rPr>
      </w:pPr>
      <w:r w:rsidRPr="00215DAA">
        <w:rPr>
          <w:b/>
          <w:bCs/>
          <w:color w:val="auto"/>
        </w:rPr>
        <w:t xml:space="preserve">Zhang </w:t>
      </w:r>
      <w:r w:rsidRPr="007C63F3">
        <w:rPr>
          <w:b/>
          <w:bCs/>
        </w:rPr>
        <w:t xml:space="preserve">Statistical </w:t>
      </w:r>
      <w:r w:rsidRPr="007C63F3">
        <w:rPr>
          <w:b/>
          <w:bCs/>
          <w:color w:val="auto"/>
        </w:rPr>
        <w:t xml:space="preserve">Results: </w:t>
      </w:r>
      <w:r w:rsidRPr="007C63F3">
        <w:rPr>
          <w:b/>
          <w:bCs/>
          <w:color w:val="00B050"/>
        </w:rPr>
        <w:t>Very Significant (t</w:t>
      </w:r>
      <w:r>
        <w:rPr>
          <w:b/>
          <w:bCs/>
          <w:color w:val="00B050"/>
        </w:rPr>
        <w:t>-</w:t>
      </w:r>
      <w:r w:rsidRPr="007C63F3">
        <w:rPr>
          <w:b/>
          <w:bCs/>
          <w:color w:val="00B050"/>
        </w:rPr>
        <w:t xml:space="preserve">test </w:t>
      </w:r>
      <w:r w:rsidRPr="00505332">
        <w:rPr>
          <w:b/>
          <w:bCs/>
          <w:color w:val="00B050"/>
        </w:rPr>
        <w:t>≥</w:t>
      </w:r>
      <w:r>
        <w:rPr>
          <w:b/>
          <w:bCs/>
          <w:color w:val="00B050"/>
        </w:rPr>
        <w:t xml:space="preserve"> </w:t>
      </w:r>
      <w:r w:rsidRPr="007C63F3">
        <w:rPr>
          <w:b/>
          <w:bCs/>
          <w:color w:val="00B050"/>
        </w:rPr>
        <w:t xml:space="preserve">3) more than 99% </w:t>
      </w:r>
      <w:r w:rsidRPr="007C63F3">
        <w:rPr>
          <w:rFonts w:cs="Mangal"/>
          <w:b/>
          <w:bCs/>
          <w:color w:val="00B050"/>
          <w:szCs w:val="20"/>
        </w:rPr>
        <w:t>confident at 1-month period.</w:t>
      </w:r>
    </w:p>
    <w:p w14:paraId="65750E05" w14:textId="77777777" w:rsidR="00C159D7" w:rsidRPr="007C63F3" w:rsidRDefault="00C159D7" w:rsidP="00796125">
      <w:pPr>
        <w:tabs>
          <w:tab w:val="left" w:pos="720"/>
        </w:tabs>
        <w:ind w:left="360"/>
      </w:pPr>
      <w:r w:rsidRPr="007C63F3">
        <w:t>Em</w:t>
      </w:r>
      <w:r w:rsidRPr="007C63F3">
        <w:rPr>
          <w:vertAlign w:val="superscript"/>
        </w:rPr>
        <w:t>q</w:t>
      </w:r>
      <w:r w:rsidRPr="007C63F3">
        <w:t>1 = One Month Holding Period 0.81% average monthly return with 3.67 t-statistic</w:t>
      </w:r>
    </w:p>
    <w:p w14:paraId="56A7B7AC" w14:textId="77777777" w:rsidR="00C159D7" w:rsidRDefault="00C159D7" w:rsidP="00796125">
      <w:pPr>
        <w:tabs>
          <w:tab w:val="left" w:pos="720"/>
        </w:tabs>
        <w:ind w:left="360"/>
      </w:pPr>
      <w:r w:rsidRPr="007C63F3">
        <w:lastRenderedPageBreak/>
        <w:t>Em</w:t>
      </w:r>
      <w:r w:rsidRPr="007C63F3">
        <w:rPr>
          <w:vertAlign w:val="superscript"/>
        </w:rPr>
        <w:t>q</w:t>
      </w:r>
      <w:r w:rsidRPr="007C63F3">
        <w:t>6 = Six Month Holding Period 0.53% average monthly return with 2.57 t-statistic</w:t>
      </w:r>
    </w:p>
    <w:p w14:paraId="7B3E23DD" w14:textId="77777777" w:rsidR="00C159D7" w:rsidRDefault="00C159D7" w:rsidP="00796125">
      <w:pPr>
        <w:tabs>
          <w:tab w:val="left" w:pos="720"/>
        </w:tabs>
        <w:ind w:left="360"/>
      </w:pPr>
      <w:r w:rsidRPr="00F67727">
        <w:t>E</w:t>
      </w:r>
      <w:r>
        <w:t>m</w:t>
      </w:r>
      <w:r w:rsidRPr="00F67727">
        <w:rPr>
          <w:vertAlign w:val="superscript"/>
        </w:rPr>
        <w:t>q</w:t>
      </w:r>
      <w:r>
        <w:t>12</w:t>
      </w:r>
      <w:r w:rsidRPr="00F67727">
        <w:t xml:space="preserve"> = </w:t>
      </w:r>
      <w:r>
        <w:t>12</w:t>
      </w:r>
      <w:r w:rsidRPr="00F67727">
        <w:t xml:space="preserve"> Month Holding Period 0.53% average monthly return with 2.</w:t>
      </w:r>
      <w:r>
        <w:t>62</w:t>
      </w:r>
      <w:r w:rsidRPr="00F67727">
        <w:t xml:space="preserve"> t-statistic</w:t>
      </w:r>
    </w:p>
    <w:p w14:paraId="7D4D0718" w14:textId="7BA8596D" w:rsidR="00365786" w:rsidRPr="003428CB" w:rsidRDefault="00365786" w:rsidP="00796125">
      <w:pPr>
        <w:pStyle w:val="Heading3"/>
        <w:keepNext/>
        <w:widowControl/>
        <w:tabs>
          <w:tab w:val="left" w:pos="720"/>
        </w:tabs>
      </w:pPr>
      <w:r w:rsidRPr="003428CB">
        <w:t>Sales to Price = Total Revenue / Market Cap</w:t>
      </w:r>
    </w:p>
    <w:p w14:paraId="23EDB9B8" w14:textId="22F995D2" w:rsidR="00EB0EE0" w:rsidRDefault="00EB0EE0" w:rsidP="00796125">
      <w:pPr>
        <w:tabs>
          <w:tab w:val="left" w:pos="720"/>
        </w:tabs>
      </w:pPr>
      <w:r w:rsidRPr="00EA265F">
        <w:t>This metric was popularized by Jim O’Shaughnessy in his book “What Works on Wall Street”</w:t>
      </w:r>
      <w:r w:rsidRPr="003428CB">
        <w:t xml:space="preserve"> </w:t>
      </w:r>
      <w:r>
        <w:t>o</w:t>
      </w:r>
      <w:r w:rsidRPr="003428CB">
        <w:t>riginally published</w:t>
      </w:r>
      <w:r>
        <w:t xml:space="preserve"> in </w:t>
      </w:r>
      <w:r w:rsidRPr="003428CB">
        <w:t>1997</w:t>
      </w:r>
      <w:r>
        <w:t xml:space="preserve">. </w:t>
      </w:r>
    </w:p>
    <w:p w14:paraId="7D97296A" w14:textId="4B1AC409" w:rsidR="004D3597" w:rsidRPr="007C63F3" w:rsidRDefault="004D3597" w:rsidP="00796125">
      <w:pPr>
        <w:pStyle w:val="NoSpacing"/>
        <w:tabs>
          <w:tab w:val="left" w:pos="720"/>
        </w:tabs>
        <w:spacing w:before="120"/>
        <w:rPr>
          <w:color w:val="auto"/>
        </w:rPr>
      </w:pPr>
      <w:r w:rsidRPr="007C63F3">
        <w:t xml:space="preserve">Reuters/Refinitiv </w:t>
      </w:r>
      <w:r w:rsidRPr="007C63F3">
        <w:rPr>
          <w:color w:val="auto"/>
        </w:rPr>
        <w:t xml:space="preserve">Fields: (TR.F.TOTREVENUE) / </w:t>
      </w:r>
      <w:proofErr w:type="spellStart"/>
      <w:r w:rsidRPr="007C63F3">
        <w:rPr>
          <w:color w:val="auto"/>
        </w:rPr>
        <w:t>TR.CompanyMarketCap</w:t>
      </w:r>
      <w:proofErr w:type="spellEnd"/>
    </w:p>
    <w:p w14:paraId="265899B5" w14:textId="6B20CFD5" w:rsidR="00EA265F" w:rsidRPr="007C63F3" w:rsidRDefault="00215DAA" w:rsidP="00796125">
      <w:pPr>
        <w:tabs>
          <w:tab w:val="left" w:pos="720"/>
        </w:tabs>
        <w:rPr>
          <w:b/>
          <w:bCs/>
          <w:color w:val="auto"/>
        </w:rPr>
      </w:pPr>
      <w:r w:rsidRPr="00215DAA">
        <w:rPr>
          <w:b/>
          <w:bCs/>
          <w:color w:val="auto"/>
        </w:rPr>
        <w:t xml:space="preserve">Zhang </w:t>
      </w:r>
      <w:r w:rsidR="00EA265F" w:rsidRPr="007C63F3">
        <w:rPr>
          <w:b/>
          <w:bCs/>
          <w:color w:val="auto"/>
        </w:rPr>
        <w:t xml:space="preserve">Statistical Results: </w:t>
      </w:r>
      <w:r w:rsidR="00407B5A" w:rsidRPr="007C63F3">
        <w:rPr>
          <w:rFonts w:cs="Mangal"/>
          <w:b/>
          <w:bCs/>
          <w:color w:val="00B050"/>
          <w:szCs w:val="20"/>
        </w:rPr>
        <w:t>Significant at the 95% confidence level</w:t>
      </w:r>
      <w:r w:rsidR="007C63F3">
        <w:rPr>
          <w:rFonts w:cs="Mangal"/>
          <w:b/>
          <w:bCs/>
          <w:color w:val="00B050"/>
          <w:szCs w:val="20"/>
        </w:rPr>
        <w:t xml:space="preserve"> across all 3 holding periods.</w:t>
      </w:r>
    </w:p>
    <w:p w14:paraId="3E3A5484" w14:textId="77777777" w:rsidR="00EA265F" w:rsidRPr="007C63F3" w:rsidRDefault="00EA265F" w:rsidP="00796125">
      <w:pPr>
        <w:tabs>
          <w:tab w:val="left" w:pos="720"/>
        </w:tabs>
        <w:ind w:left="360"/>
        <w:rPr>
          <w:color w:val="auto"/>
        </w:rPr>
      </w:pPr>
      <w:r w:rsidRPr="007C63F3">
        <w:rPr>
          <w:color w:val="auto"/>
        </w:rPr>
        <w:t>SP</w:t>
      </w:r>
      <w:r w:rsidRPr="007C63F3">
        <w:rPr>
          <w:color w:val="auto"/>
          <w:vertAlign w:val="superscript"/>
        </w:rPr>
        <w:t>q</w:t>
      </w:r>
      <w:r w:rsidRPr="007C63F3">
        <w:rPr>
          <w:color w:val="auto"/>
        </w:rPr>
        <w:t>1 = One Month Holding Period 0.61% average monthly return with 2.39 t-statistic</w:t>
      </w:r>
    </w:p>
    <w:p w14:paraId="5EC91C6D" w14:textId="77777777" w:rsidR="00EA265F" w:rsidRPr="007C63F3" w:rsidRDefault="00EA265F" w:rsidP="00796125">
      <w:pPr>
        <w:tabs>
          <w:tab w:val="left" w:pos="720"/>
        </w:tabs>
        <w:ind w:left="360"/>
        <w:rPr>
          <w:color w:val="auto"/>
        </w:rPr>
      </w:pPr>
      <w:r w:rsidRPr="007C63F3">
        <w:rPr>
          <w:color w:val="auto"/>
        </w:rPr>
        <w:t>SP</w:t>
      </w:r>
      <w:r w:rsidRPr="007C63F3">
        <w:rPr>
          <w:color w:val="auto"/>
          <w:vertAlign w:val="superscript"/>
        </w:rPr>
        <w:t>q</w:t>
      </w:r>
      <w:r w:rsidRPr="007C63F3">
        <w:rPr>
          <w:color w:val="auto"/>
        </w:rPr>
        <w:t>6 = Six Month Holding Period 0.58% average monthly return with 2.43 t-statistic</w:t>
      </w:r>
    </w:p>
    <w:p w14:paraId="23DBB1A2" w14:textId="39CB4F70" w:rsidR="00EA265F" w:rsidRPr="007C63F3" w:rsidRDefault="00EA265F" w:rsidP="00796125">
      <w:pPr>
        <w:tabs>
          <w:tab w:val="left" w:pos="720"/>
        </w:tabs>
        <w:ind w:left="360"/>
        <w:rPr>
          <w:color w:val="auto"/>
        </w:rPr>
      </w:pPr>
      <w:r w:rsidRPr="007C63F3">
        <w:rPr>
          <w:color w:val="auto"/>
        </w:rPr>
        <w:t>SP</w:t>
      </w:r>
      <w:r w:rsidRPr="007C63F3">
        <w:rPr>
          <w:color w:val="auto"/>
          <w:vertAlign w:val="superscript"/>
        </w:rPr>
        <w:t>q</w:t>
      </w:r>
      <w:r w:rsidRPr="007C63F3">
        <w:rPr>
          <w:color w:val="auto"/>
        </w:rPr>
        <w:t>12 = 12 Month Holding Period 0.55% average monthly return with 2.49 t-statistic</w:t>
      </w:r>
    </w:p>
    <w:p w14:paraId="67F6F1BA" w14:textId="3A41F01A" w:rsidR="00A0623C" w:rsidRDefault="0050509F" w:rsidP="00796125">
      <w:pPr>
        <w:pStyle w:val="Heading2"/>
        <w:tabs>
          <w:tab w:val="left" w:pos="720"/>
        </w:tabs>
      </w:pPr>
      <w:r>
        <w:t>Select Investment</w:t>
      </w:r>
      <w:r w:rsidR="00A0623C" w:rsidRPr="00215DAA">
        <w:t xml:space="preserve"> Anomalies</w:t>
      </w:r>
    </w:p>
    <w:p w14:paraId="060EBE17" w14:textId="2811FD68" w:rsidR="0014577F" w:rsidRDefault="0014577F" w:rsidP="00796125">
      <w:pPr>
        <w:pStyle w:val="Heading3"/>
        <w:tabs>
          <w:tab w:val="left" w:pos="720"/>
        </w:tabs>
      </w:pPr>
      <w:r>
        <w:t>Background</w:t>
      </w:r>
    </w:p>
    <w:p w14:paraId="0B56AA3F" w14:textId="23ADD8FF" w:rsidR="000134C2" w:rsidRDefault="000134C2" w:rsidP="00796125">
      <w:pPr>
        <w:tabs>
          <w:tab w:val="left" w:pos="720"/>
        </w:tabs>
      </w:pPr>
      <w:r w:rsidRPr="000134C2">
        <w:t>Poulsen provides the latest contribution to the literature in his November 2018 paper. His data sample covers the period July 1970 through June 2016, and almost 15,000 firms. Following is a summary of his findings:</w:t>
      </w:r>
    </w:p>
    <w:p w14:paraId="5F6A6974" w14:textId="12A4C246" w:rsidR="000134C2" w:rsidRDefault="000134C2" w:rsidP="00796125">
      <w:pPr>
        <w:tabs>
          <w:tab w:val="left" w:pos="720"/>
        </w:tabs>
      </w:pPr>
      <w:r w:rsidRPr="000134C2">
        <w:t>Average excess returns decrease with asset growth, and the effect is more pronounced for small firms.</w:t>
      </w:r>
    </w:p>
    <w:p w14:paraId="55BDC009" w14:textId="77777777" w:rsidR="000134C2" w:rsidRDefault="000134C2" w:rsidP="00796125">
      <w:pPr>
        <w:tabs>
          <w:tab w:val="left" w:pos="720"/>
        </w:tabs>
      </w:pPr>
    </w:p>
    <w:p w14:paraId="3F01854F" w14:textId="3ABD4D99" w:rsidR="00B97EF8" w:rsidRDefault="00B97EF8" w:rsidP="00796125">
      <w:pPr>
        <w:tabs>
          <w:tab w:val="left" w:pos="720"/>
        </w:tabs>
      </w:pPr>
      <w:commentRangeStart w:id="5"/>
      <w:r w:rsidRPr="00B97EF8">
        <w:t xml:space="preserve">The q-factor model </w:t>
      </w:r>
      <w:r>
        <w:t>finds</w:t>
      </w:r>
      <w:r w:rsidRPr="00B97EF8">
        <w:t xml:space="preserve"> that firms with lower investment-to-assets ratios tend to have higher expected returns.</w:t>
      </w:r>
      <w:r w:rsidR="00C1658B">
        <w:t xml:space="preserve"> In addition, the Investment factor makes the Value factor redundant in the q-factor model.</w:t>
      </w:r>
    </w:p>
    <w:p w14:paraId="4F5F3902" w14:textId="5E967FB4" w:rsidR="00F33FC0" w:rsidRPr="006E7EFF" w:rsidRDefault="00F33FC0" w:rsidP="00796125">
      <w:pPr>
        <w:tabs>
          <w:tab w:val="left" w:pos="720"/>
        </w:tabs>
        <w:spacing w:before="60"/>
      </w:pPr>
      <w:r w:rsidRPr="006E7EFF">
        <w:t xml:space="preserve">While there </w:t>
      </w:r>
      <w:r w:rsidRPr="00F33FC0">
        <w:t xml:space="preserve">were </w:t>
      </w:r>
      <w:r w:rsidRPr="00F33FC0">
        <w:rPr>
          <w:b/>
          <w:bCs/>
        </w:rPr>
        <w:t>27 significant investment anomalies</w:t>
      </w:r>
      <w:r w:rsidRPr="00F33FC0">
        <w:t xml:space="preserve"> in th</w:t>
      </w:r>
      <w:r w:rsidRPr="006E7EFF">
        <w:t>e paper, we are only going to analyze a handful in greater detail</w:t>
      </w:r>
      <w:r>
        <w:t>. Primarily those with very high t-tests or high average returns</w:t>
      </w:r>
    </w:p>
    <w:p w14:paraId="131AD559" w14:textId="5675BB9F" w:rsidR="00F33FC0" w:rsidRDefault="00C1658B" w:rsidP="00796125">
      <w:pPr>
        <w:pStyle w:val="ListParagraph"/>
        <w:numPr>
          <w:ilvl w:val="0"/>
          <w:numId w:val="20"/>
        </w:numPr>
        <w:tabs>
          <w:tab w:val="left" w:pos="720"/>
        </w:tabs>
        <w:spacing w:before="60"/>
      </w:pPr>
      <w:proofErr w:type="spellStart"/>
      <w:r>
        <w:t>Tbd</w:t>
      </w:r>
      <w:proofErr w:type="spellEnd"/>
    </w:p>
    <w:p w14:paraId="16495A63" w14:textId="397AE917" w:rsidR="00C1658B" w:rsidRDefault="00C1658B" w:rsidP="00796125">
      <w:pPr>
        <w:pStyle w:val="ListParagraph"/>
        <w:numPr>
          <w:ilvl w:val="0"/>
          <w:numId w:val="20"/>
        </w:numPr>
        <w:tabs>
          <w:tab w:val="left" w:pos="720"/>
        </w:tabs>
        <w:spacing w:before="60"/>
      </w:pPr>
      <w:proofErr w:type="spellStart"/>
      <w:r>
        <w:t>Tbd</w:t>
      </w:r>
      <w:proofErr w:type="spellEnd"/>
    </w:p>
    <w:p w14:paraId="60399812" w14:textId="1CB08268" w:rsidR="00C1658B" w:rsidRDefault="00C1658B" w:rsidP="00796125">
      <w:pPr>
        <w:pStyle w:val="ListParagraph"/>
        <w:numPr>
          <w:ilvl w:val="0"/>
          <w:numId w:val="20"/>
        </w:numPr>
        <w:tabs>
          <w:tab w:val="left" w:pos="720"/>
        </w:tabs>
        <w:spacing w:before="60"/>
      </w:pPr>
      <w:proofErr w:type="spellStart"/>
      <w:r>
        <w:t>Tbd</w:t>
      </w:r>
      <w:proofErr w:type="spellEnd"/>
    </w:p>
    <w:p w14:paraId="7A12CCAA" w14:textId="4AAC33DA" w:rsidR="00C1658B" w:rsidRDefault="00C1658B" w:rsidP="00796125">
      <w:pPr>
        <w:pStyle w:val="ListParagraph"/>
        <w:numPr>
          <w:ilvl w:val="0"/>
          <w:numId w:val="20"/>
        </w:numPr>
        <w:tabs>
          <w:tab w:val="left" w:pos="720"/>
        </w:tabs>
        <w:spacing w:before="60"/>
      </w:pPr>
      <w:proofErr w:type="spellStart"/>
      <w:r>
        <w:t>tbd</w:t>
      </w:r>
      <w:commentRangeEnd w:id="5"/>
      <w:proofErr w:type="spellEnd"/>
      <w:r w:rsidR="001C7575">
        <w:rPr>
          <w:rStyle w:val="CommentReference"/>
          <w:rFonts w:ascii="Calibri" w:eastAsia="Arial" w:hAnsi="Calibri" w:cs="Mangal"/>
          <w:color w:val="000000"/>
          <w:lang w:val="en-CA" w:eastAsia="zh-CN" w:bidi="hi-IN"/>
        </w:rPr>
        <w:commentReference w:id="5"/>
      </w:r>
    </w:p>
    <w:p w14:paraId="5CCB3719" w14:textId="162E52FA" w:rsidR="00365786" w:rsidRPr="00215DAA" w:rsidRDefault="0050509F" w:rsidP="00796125">
      <w:pPr>
        <w:pStyle w:val="Heading2"/>
        <w:tabs>
          <w:tab w:val="left" w:pos="720"/>
        </w:tabs>
      </w:pPr>
      <w:r>
        <w:t>Select Profitability (Quality)</w:t>
      </w:r>
      <w:r w:rsidR="00215DAA" w:rsidRPr="00215DAA">
        <w:t xml:space="preserve"> Anomalies</w:t>
      </w:r>
    </w:p>
    <w:p w14:paraId="7B6031DE" w14:textId="77777777" w:rsidR="00F67727" w:rsidRDefault="00F67727" w:rsidP="00796125">
      <w:pPr>
        <w:pStyle w:val="NoSpacing"/>
        <w:tabs>
          <w:tab w:val="left" w:pos="720"/>
        </w:tabs>
        <w:spacing w:before="120"/>
      </w:pPr>
      <w:r>
        <w:t xml:space="preserve">Quality/profitability </w:t>
      </w:r>
      <w:r w:rsidRPr="00471ED3">
        <w:t xml:space="preserve">is the observation that investing in highly profitable </w:t>
      </w:r>
      <w:r>
        <w:t xml:space="preserve">stocks tend to </w:t>
      </w:r>
      <w:r w:rsidRPr="00471ED3">
        <w:t xml:space="preserve">significantly </w:t>
      </w:r>
      <w:r>
        <w:t>outperform companies</w:t>
      </w:r>
      <w:r w:rsidRPr="00471ED3">
        <w:t xml:space="preserve"> of lower profitability.</w:t>
      </w:r>
      <w:r>
        <w:t xml:space="preserve"> The academic work on the profitability premium comes from </w:t>
      </w:r>
      <w:proofErr w:type="spellStart"/>
      <w:r>
        <w:t>Novy</w:t>
      </w:r>
      <w:proofErr w:type="spellEnd"/>
      <w:r>
        <w:t xml:space="preserve">-Marx and his 2013 paper, “The Other Side of Value: The Gross Profitability Premium.” He found that from 1962 to 2010, the most profitable firm’s stock gained of 0.31% more per month more than the least profitable firms. </w:t>
      </w:r>
    </w:p>
    <w:p w14:paraId="74301C63" w14:textId="791F4AF1" w:rsidR="00F67727" w:rsidRPr="00B44E0D" w:rsidRDefault="00F67727" w:rsidP="00796125">
      <w:pPr>
        <w:pStyle w:val="NoSpacing"/>
        <w:tabs>
          <w:tab w:val="left" w:pos="720"/>
        </w:tabs>
        <w:spacing w:before="120"/>
      </w:pPr>
      <w:r>
        <w:t xml:space="preserve">In addition, </w:t>
      </w:r>
      <w:proofErr w:type="spellStart"/>
      <w:r>
        <w:t>Novy</w:t>
      </w:r>
      <w:proofErr w:type="spellEnd"/>
      <w:r>
        <w:t>-Marx found that Value + Quality resulted in a dramatic increase in performance compared to value-only strategies; b</w:t>
      </w:r>
      <w:r w:rsidRPr="00B44E0D">
        <w:t>etween July 1963 and December 2010 (the sample period), a combined strategy of gross profit and value never generated a losing five-year return.</w:t>
      </w:r>
    </w:p>
    <w:p w14:paraId="30B7CEE7" w14:textId="4F592F72" w:rsidR="00F67727" w:rsidRDefault="00F67727" w:rsidP="00796125">
      <w:pPr>
        <w:pStyle w:val="NoSpacing"/>
        <w:tabs>
          <w:tab w:val="left" w:pos="720"/>
        </w:tabs>
        <w:spacing w:before="120"/>
      </w:pPr>
      <w:r>
        <w:t>While the academic literature is relatively recent,</w:t>
      </w:r>
      <w:r w:rsidRPr="00471ED3">
        <w:t xml:space="preserve"> </w:t>
      </w:r>
      <w:r>
        <w:t>Quality has been used by investors long before the academic publication. For a famous example, Warren Buffett’s investing success can be significantly attributed to combination of Value + Quality.</w:t>
      </w:r>
    </w:p>
    <w:p w14:paraId="7D53915B" w14:textId="056514ED" w:rsidR="00F33FC0" w:rsidRPr="006E7EFF" w:rsidRDefault="00F33FC0" w:rsidP="00796125">
      <w:pPr>
        <w:tabs>
          <w:tab w:val="left" w:pos="720"/>
        </w:tabs>
        <w:spacing w:before="60"/>
      </w:pPr>
      <w:r w:rsidRPr="006E7EFF">
        <w:lastRenderedPageBreak/>
        <w:t xml:space="preserve">While there </w:t>
      </w:r>
      <w:r w:rsidRPr="00F33FC0">
        <w:t xml:space="preserve">were </w:t>
      </w:r>
      <w:r w:rsidRPr="00F33FC0">
        <w:rPr>
          <w:b/>
          <w:bCs/>
        </w:rPr>
        <w:t>33 significant profitability anomalies</w:t>
      </w:r>
      <w:r w:rsidRPr="00F33FC0">
        <w:t xml:space="preserve"> in th</w:t>
      </w:r>
      <w:r w:rsidRPr="006E7EFF">
        <w:t>e paper, we are only going to analyze a handful in greater detail</w:t>
      </w:r>
      <w:r>
        <w:t>. Primarily those with very high t-tests or high average returns</w:t>
      </w:r>
    </w:p>
    <w:p w14:paraId="09FC397D" w14:textId="4FF0E8CC" w:rsidR="00F33FC0" w:rsidRDefault="00C1658B" w:rsidP="00796125">
      <w:pPr>
        <w:pStyle w:val="ListParagraph"/>
        <w:numPr>
          <w:ilvl w:val="0"/>
          <w:numId w:val="20"/>
        </w:numPr>
        <w:tabs>
          <w:tab w:val="left" w:pos="720"/>
        </w:tabs>
        <w:spacing w:before="60"/>
      </w:pPr>
      <w:r>
        <w:t>Gross Profitability</w:t>
      </w:r>
    </w:p>
    <w:p w14:paraId="681FB3B9" w14:textId="572AD193" w:rsidR="00C1658B" w:rsidRDefault="00C1658B" w:rsidP="00796125">
      <w:pPr>
        <w:pStyle w:val="ListParagraph"/>
        <w:numPr>
          <w:ilvl w:val="0"/>
          <w:numId w:val="20"/>
        </w:numPr>
        <w:tabs>
          <w:tab w:val="left" w:pos="720"/>
        </w:tabs>
        <w:spacing w:before="60"/>
      </w:pPr>
      <w:r>
        <w:t>Return on Equity</w:t>
      </w:r>
    </w:p>
    <w:p w14:paraId="20B6C8D9" w14:textId="50336082" w:rsidR="00C1658B" w:rsidRDefault="00C1658B" w:rsidP="00796125">
      <w:pPr>
        <w:pStyle w:val="ListParagraph"/>
        <w:numPr>
          <w:ilvl w:val="0"/>
          <w:numId w:val="20"/>
        </w:numPr>
        <w:tabs>
          <w:tab w:val="left" w:pos="720"/>
        </w:tabs>
        <w:spacing w:before="60"/>
      </w:pPr>
      <w:r>
        <w:t>Change in ROE</w:t>
      </w:r>
    </w:p>
    <w:p w14:paraId="5E0A4566" w14:textId="64650755" w:rsidR="00C1658B" w:rsidRDefault="00C1658B" w:rsidP="00796125">
      <w:pPr>
        <w:pStyle w:val="ListParagraph"/>
        <w:numPr>
          <w:ilvl w:val="0"/>
          <w:numId w:val="20"/>
        </w:numPr>
        <w:tabs>
          <w:tab w:val="left" w:pos="720"/>
        </w:tabs>
        <w:spacing w:before="60"/>
      </w:pPr>
      <w:r>
        <w:t>Cash based Operating Profitability</w:t>
      </w:r>
    </w:p>
    <w:p w14:paraId="3EC3A621" w14:textId="566B2192" w:rsidR="004A10F3" w:rsidRDefault="004A10F3" w:rsidP="00796125">
      <w:pPr>
        <w:pStyle w:val="Heading3"/>
        <w:keepNext/>
        <w:widowControl/>
        <w:tabs>
          <w:tab w:val="left" w:pos="720"/>
        </w:tabs>
      </w:pPr>
      <w:r>
        <w:t>Gross Profitability (</w:t>
      </w:r>
      <w:proofErr w:type="spellStart"/>
      <w:r>
        <w:t>Novy</w:t>
      </w:r>
      <w:proofErr w:type="spellEnd"/>
      <w:r>
        <w:t xml:space="preserve">-Marx) = </w:t>
      </w:r>
      <w:r w:rsidR="00283353">
        <w:t>Gross</w:t>
      </w:r>
      <w:r>
        <w:t xml:space="preserve"> Profit / Total Assets</w:t>
      </w:r>
    </w:p>
    <w:p w14:paraId="6B2B5B41" w14:textId="046B3576" w:rsidR="004A10F3" w:rsidRDefault="004A10F3" w:rsidP="00796125">
      <w:pPr>
        <w:pStyle w:val="NoSpacing"/>
        <w:tabs>
          <w:tab w:val="left" w:pos="720"/>
        </w:tabs>
        <w:spacing w:before="120"/>
      </w:pPr>
      <w:r>
        <w:t xml:space="preserve">The academic work from </w:t>
      </w:r>
      <w:proofErr w:type="spellStart"/>
      <w:r>
        <w:t>Novy</w:t>
      </w:r>
      <w:proofErr w:type="spellEnd"/>
      <w:r>
        <w:t>-Marx and his 2013 paper, “The Other Side of Value: The Gross Profitability Premium.”</w:t>
      </w:r>
    </w:p>
    <w:p w14:paraId="6DCBE0AF" w14:textId="2B2165F1" w:rsidR="004A10F3" w:rsidRPr="007C63F3" w:rsidRDefault="004A10F3" w:rsidP="00796125">
      <w:pPr>
        <w:pStyle w:val="NoSpacing"/>
        <w:tabs>
          <w:tab w:val="left" w:pos="720"/>
        </w:tabs>
        <w:spacing w:before="120"/>
      </w:pPr>
      <w:r w:rsidRPr="007C63F3">
        <w:t>Reuters/Refinitiv Fields: TR.F.GROSSPROFINDPROPTOT/ TR.F.TOTASSETS</w:t>
      </w:r>
    </w:p>
    <w:p w14:paraId="417787B8" w14:textId="1AEEB2E5" w:rsidR="004A10F3" w:rsidRPr="007C63F3" w:rsidRDefault="004A10F3" w:rsidP="00796125">
      <w:pPr>
        <w:pStyle w:val="NoSpacing"/>
        <w:tabs>
          <w:tab w:val="left" w:pos="720"/>
        </w:tabs>
        <w:spacing w:before="120"/>
        <w:rPr>
          <w:color w:val="auto"/>
        </w:rPr>
      </w:pPr>
      <w:r w:rsidRPr="007C63F3">
        <w:rPr>
          <w:b/>
          <w:bCs/>
          <w:color w:val="auto"/>
        </w:rPr>
        <w:t xml:space="preserve">Statistical Results: </w:t>
      </w:r>
      <w:r w:rsidRPr="007C63F3">
        <w:rPr>
          <w:b/>
          <w:bCs/>
          <w:color w:val="00B050"/>
        </w:rPr>
        <w:t>Significant at the 95% confidence level</w:t>
      </w:r>
    </w:p>
    <w:p w14:paraId="4A424277" w14:textId="59E675F4" w:rsidR="004A10F3" w:rsidRPr="004A10F3" w:rsidRDefault="004A10F3" w:rsidP="00796125">
      <w:pPr>
        <w:tabs>
          <w:tab w:val="left" w:pos="720"/>
        </w:tabs>
        <w:ind w:left="360"/>
      </w:pPr>
      <w:proofErr w:type="spellStart"/>
      <w:r w:rsidRPr="004A10F3">
        <w:t>Gpa</w:t>
      </w:r>
      <w:proofErr w:type="spellEnd"/>
      <w:r w:rsidRPr="004A10F3">
        <w:t xml:space="preserve"> = Annual rebalance 0.</w:t>
      </w:r>
      <w:r>
        <w:t>38</w:t>
      </w:r>
      <w:r w:rsidRPr="004A10F3">
        <w:t xml:space="preserve">% average monthly return with </w:t>
      </w:r>
      <w:r>
        <w:t>2</w:t>
      </w:r>
      <w:r w:rsidRPr="004A10F3">
        <w:t>.</w:t>
      </w:r>
      <w:r>
        <w:t>62</w:t>
      </w:r>
      <w:r w:rsidRPr="004A10F3">
        <w:t xml:space="preserve"> t-statistic</w:t>
      </w:r>
    </w:p>
    <w:p w14:paraId="6392122D" w14:textId="21D74331" w:rsidR="004A10F3" w:rsidRDefault="004A10F3" w:rsidP="00796125">
      <w:pPr>
        <w:pStyle w:val="Heading3"/>
        <w:keepNext/>
        <w:widowControl/>
        <w:tabs>
          <w:tab w:val="left" w:pos="720"/>
        </w:tabs>
      </w:pPr>
      <w:r>
        <w:t xml:space="preserve">Gross Profitability </w:t>
      </w:r>
      <w:r w:rsidR="00283353">
        <w:t xml:space="preserve">Lagged </w:t>
      </w:r>
      <w:r>
        <w:t xml:space="preserve">= </w:t>
      </w:r>
      <w:r w:rsidR="00283353">
        <w:t xml:space="preserve">Gross </w:t>
      </w:r>
      <w:r>
        <w:t xml:space="preserve">Profit / </w:t>
      </w:r>
      <w:r w:rsidR="00283353">
        <w:t xml:space="preserve">Lagged </w:t>
      </w:r>
      <w:r>
        <w:t>Total Assets</w:t>
      </w:r>
    </w:p>
    <w:p w14:paraId="51260A49" w14:textId="129496E5" w:rsidR="004A10F3" w:rsidRPr="007C63F3" w:rsidRDefault="004A10F3" w:rsidP="00796125">
      <w:pPr>
        <w:pStyle w:val="NoSpacing"/>
        <w:tabs>
          <w:tab w:val="left" w:pos="720"/>
        </w:tabs>
        <w:spacing w:before="120"/>
      </w:pPr>
      <w:r w:rsidRPr="007C63F3">
        <w:t>Reuters/Refinitiv Fields: TR.F.GROSSPROFINDPROPTOT/ TR.F.TOTASSETS</w:t>
      </w:r>
      <w:r w:rsidR="00283353" w:rsidRPr="007C63F3">
        <w:t>, Period=FQ-1</w:t>
      </w:r>
    </w:p>
    <w:p w14:paraId="3B6563AB" w14:textId="5FDA2730" w:rsidR="004A10F3" w:rsidRPr="007C63F3" w:rsidRDefault="00215DAA" w:rsidP="00796125">
      <w:pPr>
        <w:pStyle w:val="NoSpacing"/>
        <w:tabs>
          <w:tab w:val="left" w:pos="720"/>
        </w:tabs>
        <w:spacing w:before="120"/>
        <w:rPr>
          <w:color w:val="auto"/>
        </w:rPr>
      </w:pPr>
      <w:r w:rsidRPr="00215DAA">
        <w:rPr>
          <w:b/>
          <w:bCs/>
          <w:color w:val="auto"/>
        </w:rPr>
        <w:t xml:space="preserve">Zhang </w:t>
      </w:r>
      <w:r w:rsidR="004A10F3" w:rsidRPr="007C63F3">
        <w:rPr>
          <w:b/>
          <w:bCs/>
          <w:color w:val="auto"/>
        </w:rPr>
        <w:t xml:space="preserve">Statistical Results: </w:t>
      </w:r>
      <w:r w:rsidR="007C63F3" w:rsidRPr="007C63F3">
        <w:rPr>
          <w:b/>
          <w:bCs/>
          <w:color w:val="00B050"/>
        </w:rPr>
        <w:t xml:space="preserve">Very Significant </w:t>
      </w:r>
      <w:r w:rsidR="00505332" w:rsidRPr="007C63F3">
        <w:rPr>
          <w:b/>
          <w:bCs/>
          <w:color w:val="00B050"/>
        </w:rPr>
        <w:t>(t</w:t>
      </w:r>
      <w:r w:rsidR="00505332">
        <w:rPr>
          <w:b/>
          <w:bCs/>
          <w:color w:val="00B050"/>
        </w:rPr>
        <w:t>-</w:t>
      </w:r>
      <w:r w:rsidR="00505332" w:rsidRPr="007C63F3">
        <w:rPr>
          <w:b/>
          <w:bCs/>
          <w:color w:val="00B050"/>
        </w:rPr>
        <w:t xml:space="preserve">test </w:t>
      </w:r>
      <w:r w:rsidR="00505332" w:rsidRPr="00505332">
        <w:rPr>
          <w:b/>
          <w:bCs/>
          <w:color w:val="00B050"/>
        </w:rPr>
        <w:t>≥</w:t>
      </w:r>
      <w:r w:rsidR="00505332">
        <w:rPr>
          <w:b/>
          <w:bCs/>
          <w:color w:val="00B050"/>
        </w:rPr>
        <w:t xml:space="preserve"> </w:t>
      </w:r>
      <w:r w:rsidR="00505332" w:rsidRPr="007C63F3">
        <w:rPr>
          <w:b/>
          <w:bCs/>
          <w:color w:val="00B050"/>
        </w:rPr>
        <w:t xml:space="preserve">3) </w:t>
      </w:r>
      <w:r w:rsidR="007C63F3" w:rsidRPr="007C63F3">
        <w:rPr>
          <w:b/>
          <w:bCs/>
          <w:color w:val="00B050"/>
        </w:rPr>
        <w:t>more than 99% confident at 1-month period.</w:t>
      </w:r>
    </w:p>
    <w:p w14:paraId="2D5C90A3" w14:textId="172E112E" w:rsidR="00283353" w:rsidRPr="007C63F3" w:rsidRDefault="004A10F3" w:rsidP="00796125">
      <w:pPr>
        <w:tabs>
          <w:tab w:val="left" w:pos="720"/>
        </w:tabs>
        <w:ind w:left="360"/>
      </w:pPr>
      <w:r w:rsidRPr="007C63F3">
        <w:t>G</w:t>
      </w:r>
      <w:r w:rsidR="00283353" w:rsidRPr="007C63F3">
        <w:t>l</w:t>
      </w:r>
      <w:r w:rsidRPr="007C63F3">
        <w:t>a</w:t>
      </w:r>
      <w:r w:rsidR="00283353" w:rsidRPr="007C63F3">
        <w:rPr>
          <w:vertAlign w:val="superscript"/>
        </w:rPr>
        <w:t>q</w:t>
      </w:r>
      <w:r w:rsidR="00283353" w:rsidRPr="007C63F3">
        <w:t>1</w:t>
      </w:r>
      <w:r w:rsidRPr="007C63F3">
        <w:t xml:space="preserve"> </w:t>
      </w:r>
      <w:r w:rsidR="00283353" w:rsidRPr="007C63F3">
        <w:t>= One Month Holding Period 0.51% average monthly return with 3.40 t-statistic</w:t>
      </w:r>
    </w:p>
    <w:p w14:paraId="051A5FBB" w14:textId="74C05F0C" w:rsidR="00283353" w:rsidRPr="007C63F3" w:rsidRDefault="00283353" w:rsidP="00796125">
      <w:pPr>
        <w:tabs>
          <w:tab w:val="left" w:pos="720"/>
        </w:tabs>
        <w:ind w:left="360"/>
      </w:pPr>
      <w:r w:rsidRPr="007C63F3">
        <w:t>Gla</w:t>
      </w:r>
      <w:r w:rsidRPr="007C63F3">
        <w:rPr>
          <w:vertAlign w:val="superscript"/>
        </w:rPr>
        <w:t>q</w:t>
      </w:r>
      <w:r w:rsidRPr="007C63F3">
        <w:t>6 = Six Month Holding Period 0.34% average monthly return with 2.43 t-statistic</w:t>
      </w:r>
    </w:p>
    <w:p w14:paraId="3BAD6619" w14:textId="5B32DE82" w:rsidR="004A10F3" w:rsidRPr="00283353" w:rsidRDefault="00283353" w:rsidP="00796125">
      <w:pPr>
        <w:tabs>
          <w:tab w:val="left" w:pos="720"/>
          <w:tab w:val="right" w:pos="9360"/>
        </w:tabs>
        <w:ind w:left="360"/>
        <w:rPr>
          <w:highlight w:val="yellow"/>
        </w:rPr>
      </w:pPr>
      <w:r w:rsidRPr="007C63F3">
        <w:t>Gla</w:t>
      </w:r>
      <w:r w:rsidRPr="007C63F3">
        <w:rPr>
          <w:vertAlign w:val="superscript"/>
        </w:rPr>
        <w:t>q</w:t>
      </w:r>
      <w:r w:rsidRPr="007C63F3">
        <w:t>6 = Twelve Month Holding Period 0.29% average monthly return with 2.12 t-</w:t>
      </w:r>
      <w:r w:rsidRPr="00283353">
        <w:t>statistic</w:t>
      </w:r>
      <w:r w:rsidR="007C63F3">
        <w:tab/>
      </w:r>
    </w:p>
    <w:p w14:paraId="5AA8FB66" w14:textId="5A530A6C" w:rsidR="00F67727" w:rsidRPr="00F67727" w:rsidRDefault="00F67727" w:rsidP="00796125">
      <w:pPr>
        <w:pStyle w:val="Heading3"/>
        <w:keepNext/>
        <w:widowControl/>
        <w:tabs>
          <w:tab w:val="left" w:pos="720"/>
        </w:tabs>
      </w:pPr>
      <w:r w:rsidRPr="00F67727">
        <w:t>Return on Equity (Conventional)</w:t>
      </w:r>
      <w:r>
        <w:t xml:space="preserve"> = </w:t>
      </w:r>
      <w:r w:rsidR="00630F64">
        <w:t xml:space="preserve">Net </w:t>
      </w:r>
      <w:r w:rsidRPr="00F67727">
        <w:t>Income</w:t>
      </w:r>
      <w:r w:rsidR="00630F64">
        <w:t xml:space="preserve"> to Common Shares</w:t>
      </w:r>
      <w:r w:rsidRPr="00F67727">
        <w:t xml:space="preserve"> </w:t>
      </w:r>
      <w:r>
        <w:t>/ Shareholder Equity</w:t>
      </w:r>
    </w:p>
    <w:p w14:paraId="24251AE6" w14:textId="4C973CF1" w:rsidR="004D3597" w:rsidRPr="007C63F3" w:rsidRDefault="004D3597" w:rsidP="00796125">
      <w:pPr>
        <w:pStyle w:val="NoSpacing"/>
        <w:tabs>
          <w:tab w:val="left" w:pos="720"/>
        </w:tabs>
        <w:spacing w:before="120"/>
      </w:pPr>
      <w:r w:rsidRPr="007C63F3">
        <w:t xml:space="preserve">Reuters/Refinitiv Fields: TR.F.INCAVAILTOCOMSHR / </w:t>
      </w:r>
      <w:proofErr w:type="spellStart"/>
      <w:r w:rsidRPr="007C63F3">
        <w:t>TR.F.TotShHoldEq</w:t>
      </w:r>
      <w:proofErr w:type="spellEnd"/>
    </w:p>
    <w:p w14:paraId="556D921E" w14:textId="22B4EB28" w:rsidR="00F67727" w:rsidRPr="007C63F3" w:rsidRDefault="00215DAA" w:rsidP="00796125">
      <w:pPr>
        <w:pStyle w:val="NoSpacing"/>
        <w:tabs>
          <w:tab w:val="left" w:pos="720"/>
        </w:tabs>
        <w:spacing w:before="120"/>
        <w:rPr>
          <w:b/>
          <w:bCs/>
        </w:rPr>
      </w:pPr>
      <w:r w:rsidRPr="00215DAA">
        <w:rPr>
          <w:b/>
          <w:bCs/>
          <w:color w:val="auto"/>
        </w:rPr>
        <w:t xml:space="preserve">Zhang </w:t>
      </w:r>
      <w:r w:rsidR="004D3597" w:rsidRPr="007C63F3">
        <w:rPr>
          <w:b/>
          <w:bCs/>
        </w:rPr>
        <w:t xml:space="preserve">Statistical Results: </w:t>
      </w:r>
      <w:r w:rsidR="00F67727" w:rsidRPr="007C63F3">
        <w:rPr>
          <w:b/>
          <w:bCs/>
        </w:rPr>
        <w:t>Not Rated</w:t>
      </w:r>
    </w:p>
    <w:p w14:paraId="5A7786A9" w14:textId="3F161284" w:rsidR="004D3597" w:rsidRPr="00F67727" w:rsidRDefault="00F67727" w:rsidP="00796125">
      <w:pPr>
        <w:pStyle w:val="Heading3"/>
        <w:keepNext/>
        <w:widowControl/>
        <w:tabs>
          <w:tab w:val="left" w:pos="720"/>
        </w:tabs>
      </w:pPr>
      <w:r w:rsidRPr="004D3597">
        <w:t>Return on Equity (Zhang)</w:t>
      </w:r>
      <w:r w:rsidR="004D3597">
        <w:t xml:space="preserve"> = </w:t>
      </w:r>
      <w:r w:rsidR="00630F64">
        <w:t xml:space="preserve">Income before Extraordinary Items </w:t>
      </w:r>
      <w:r w:rsidR="004D3597">
        <w:t>/ Lagged Shareholder Equity</w:t>
      </w:r>
    </w:p>
    <w:p w14:paraId="60D204FA" w14:textId="1AB726EE" w:rsidR="00407B5A" w:rsidRPr="007C63F3" w:rsidRDefault="00407B5A" w:rsidP="00796125">
      <w:pPr>
        <w:pStyle w:val="NoSpacing"/>
        <w:tabs>
          <w:tab w:val="left" w:pos="720"/>
        </w:tabs>
        <w:spacing w:before="120"/>
      </w:pPr>
      <w:r w:rsidRPr="007C63F3">
        <w:t xml:space="preserve">Reuters/Refinitiv Fields: </w:t>
      </w:r>
      <w:r w:rsidR="00630F64" w:rsidRPr="007C63F3">
        <w:t xml:space="preserve">TR.F.INCBEFDISCOPSEXORDITEMS </w:t>
      </w:r>
      <w:r w:rsidRPr="007C63F3">
        <w:t xml:space="preserve">/ </w:t>
      </w:r>
      <w:proofErr w:type="spellStart"/>
      <w:r w:rsidRPr="007C63F3">
        <w:t>TR.F.TotShHoldEq</w:t>
      </w:r>
      <w:proofErr w:type="spellEnd"/>
      <w:r w:rsidRPr="007C63F3">
        <w:t>, Period=FQ-1</w:t>
      </w:r>
    </w:p>
    <w:p w14:paraId="3269DB3A" w14:textId="5F63E423" w:rsidR="004D3597" w:rsidRPr="00F67727" w:rsidRDefault="004D3597" w:rsidP="00796125">
      <w:pPr>
        <w:pStyle w:val="NoSpacing"/>
        <w:tabs>
          <w:tab w:val="left" w:pos="720"/>
        </w:tabs>
        <w:spacing w:before="120"/>
      </w:pPr>
      <w:r w:rsidRPr="007C63F3">
        <w:t xml:space="preserve">The academic work on </w:t>
      </w:r>
      <w:r w:rsidR="00EB0EE0" w:rsidRPr="007C63F3">
        <w:t>Operating</w:t>
      </w:r>
      <w:r w:rsidR="00EB0EE0">
        <w:t xml:space="preserve"> Income</w:t>
      </w:r>
      <w:r>
        <w:t xml:space="preserve"> / Lagged Shareholder Equity comes from Hou, Xue, and Zhang 2015</w:t>
      </w:r>
      <w:r w:rsidR="00EB0EE0">
        <w:t>.</w:t>
      </w:r>
    </w:p>
    <w:p w14:paraId="2090DBE2" w14:textId="7ED5FF9B" w:rsidR="007C63F3" w:rsidRPr="007C63F3" w:rsidRDefault="00215DAA" w:rsidP="00796125">
      <w:pPr>
        <w:pStyle w:val="NoSpacing"/>
        <w:tabs>
          <w:tab w:val="left" w:pos="720"/>
        </w:tabs>
        <w:spacing w:before="120"/>
        <w:rPr>
          <w:color w:val="auto"/>
        </w:rPr>
      </w:pPr>
      <w:r w:rsidRPr="00215DAA">
        <w:rPr>
          <w:b/>
          <w:bCs/>
          <w:color w:val="auto"/>
        </w:rPr>
        <w:t xml:space="preserve">Zhang </w:t>
      </w:r>
      <w:r w:rsidR="00407B5A" w:rsidRPr="007C63F3">
        <w:rPr>
          <w:b/>
          <w:bCs/>
          <w:color w:val="auto"/>
        </w:rPr>
        <w:t xml:space="preserve">Statistical Results: </w:t>
      </w:r>
      <w:r w:rsidR="007C63F3" w:rsidRPr="007C63F3">
        <w:rPr>
          <w:b/>
          <w:bCs/>
          <w:color w:val="00B050"/>
        </w:rPr>
        <w:t xml:space="preserve">Very Significant </w:t>
      </w:r>
      <w:r w:rsidR="00505332" w:rsidRPr="007C63F3">
        <w:rPr>
          <w:b/>
          <w:bCs/>
          <w:color w:val="00B050"/>
        </w:rPr>
        <w:t>(t</w:t>
      </w:r>
      <w:r w:rsidR="00505332">
        <w:rPr>
          <w:b/>
          <w:bCs/>
          <w:color w:val="00B050"/>
        </w:rPr>
        <w:t>-</w:t>
      </w:r>
      <w:r w:rsidR="00505332" w:rsidRPr="007C63F3">
        <w:rPr>
          <w:b/>
          <w:bCs/>
          <w:color w:val="00B050"/>
        </w:rPr>
        <w:t xml:space="preserve">test </w:t>
      </w:r>
      <w:r w:rsidR="00505332" w:rsidRPr="00505332">
        <w:rPr>
          <w:b/>
          <w:bCs/>
          <w:color w:val="00B050"/>
        </w:rPr>
        <w:t>≥</w:t>
      </w:r>
      <w:r w:rsidR="00505332" w:rsidRPr="007C63F3">
        <w:rPr>
          <w:b/>
          <w:bCs/>
          <w:color w:val="00B050"/>
        </w:rPr>
        <w:t xml:space="preserve"> 3) </w:t>
      </w:r>
      <w:r w:rsidR="007C63F3" w:rsidRPr="007C63F3">
        <w:rPr>
          <w:b/>
          <w:bCs/>
          <w:color w:val="00B050"/>
        </w:rPr>
        <w:t>more than 99% confident at 1-month period.</w:t>
      </w:r>
    </w:p>
    <w:p w14:paraId="662E39E5" w14:textId="1788E4B4" w:rsidR="00EB0EE0" w:rsidRPr="007C63F3" w:rsidRDefault="00EB0EE0" w:rsidP="00796125">
      <w:pPr>
        <w:tabs>
          <w:tab w:val="left" w:pos="720"/>
        </w:tabs>
        <w:ind w:left="360"/>
      </w:pPr>
      <w:r w:rsidRPr="007C63F3">
        <w:t>Roe1 = One Month Holding Period 0.69% average monthly return with 3.07 t-statistic</w:t>
      </w:r>
    </w:p>
    <w:p w14:paraId="79BA9D43" w14:textId="0FC2F647" w:rsidR="00EB0EE0" w:rsidRDefault="00EB0EE0" w:rsidP="00796125">
      <w:pPr>
        <w:tabs>
          <w:tab w:val="left" w:pos="720"/>
        </w:tabs>
        <w:ind w:left="360"/>
      </w:pPr>
      <w:r w:rsidRPr="007C63F3">
        <w:t>Roe6 = Six Month Holding Pe</w:t>
      </w:r>
      <w:r>
        <w:t xml:space="preserve">riod </w:t>
      </w:r>
      <w:r>
        <w:rPr>
          <w:b/>
          <w:bCs/>
        </w:rPr>
        <w:t>Not Statistically Significant</w:t>
      </w:r>
    </w:p>
    <w:p w14:paraId="45D57368" w14:textId="4A03F47E" w:rsidR="00EB0EE0" w:rsidRPr="00EB0EE0" w:rsidRDefault="00EB0EE0" w:rsidP="00796125">
      <w:pPr>
        <w:tabs>
          <w:tab w:val="left" w:pos="720"/>
        </w:tabs>
        <w:ind w:left="360"/>
        <w:rPr>
          <w:highlight w:val="yellow"/>
        </w:rPr>
      </w:pPr>
      <w:r>
        <w:t>Roe12</w:t>
      </w:r>
      <w:r w:rsidRPr="00EB0EE0">
        <w:t xml:space="preserve"> </w:t>
      </w:r>
      <w:r>
        <w:t>= Twelve Month Holding Period</w:t>
      </w:r>
      <w:r w:rsidRPr="00EB0EE0">
        <w:rPr>
          <w:b/>
          <w:bCs/>
        </w:rPr>
        <w:t xml:space="preserve"> </w:t>
      </w:r>
      <w:r>
        <w:rPr>
          <w:b/>
          <w:bCs/>
        </w:rPr>
        <w:t>Not Statistically Significant</w:t>
      </w:r>
    </w:p>
    <w:p w14:paraId="111BA94C" w14:textId="75FE7FC4" w:rsidR="00283353" w:rsidRDefault="00283353" w:rsidP="00796125">
      <w:pPr>
        <w:pStyle w:val="Heading3"/>
        <w:keepNext/>
        <w:widowControl/>
        <w:tabs>
          <w:tab w:val="left" w:pos="720"/>
        </w:tabs>
      </w:pPr>
      <w:r>
        <w:t xml:space="preserve">Change In ROE </w:t>
      </w:r>
      <w:r w:rsidRPr="00F67727">
        <w:t>(Conventional)</w:t>
      </w:r>
      <w:r>
        <w:t xml:space="preserve"> = ROE / ROE from </w:t>
      </w:r>
      <w:r w:rsidR="008940DB">
        <w:t>4 quarters ago (last year)</w:t>
      </w:r>
    </w:p>
    <w:p w14:paraId="3CF7D230" w14:textId="52D41697" w:rsidR="008940DB" w:rsidRPr="008940DB" w:rsidRDefault="008940DB" w:rsidP="00796125">
      <w:pPr>
        <w:pStyle w:val="NoSpacing"/>
        <w:tabs>
          <w:tab w:val="left" w:pos="720"/>
        </w:tabs>
        <w:spacing w:before="120"/>
      </w:pPr>
      <w:r w:rsidRPr="008940DB">
        <w:t>The four-quarter-change in Roe controls</w:t>
      </w:r>
      <w:r>
        <w:t xml:space="preserve"> </w:t>
      </w:r>
      <w:r w:rsidRPr="008940DB">
        <w:t xml:space="preserve">for seasonality, and likely better captures the underlying economic profitability than </w:t>
      </w:r>
      <w:r>
        <w:t>ROE</w:t>
      </w:r>
      <w:r w:rsidRPr="008940DB">
        <w:t xml:space="preserve"> itself</w:t>
      </w:r>
      <w:r>
        <w:t>.</w:t>
      </w:r>
    </w:p>
    <w:p w14:paraId="6D3A87FF" w14:textId="0F0FFBDA" w:rsidR="00283353" w:rsidRDefault="00215DAA" w:rsidP="00796125">
      <w:pPr>
        <w:pStyle w:val="NoSpacing"/>
        <w:tabs>
          <w:tab w:val="left" w:pos="720"/>
        </w:tabs>
        <w:spacing w:before="120"/>
      </w:pPr>
      <w:r w:rsidRPr="00215DAA">
        <w:rPr>
          <w:b/>
          <w:bCs/>
          <w:color w:val="auto"/>
        </w:rPr>
        <w:lastRenderedPageBreak/>
        <w:t xml:space="preserve">Zhang </w:t>
      </w:r>
      <w:r w:rsidR="00283353" w:rsidRPr="003428CB">
        <w:rPr>
          <w:b/>
          <w:bCs/>
        </w:rPr>
        <w:t xml:space="preserve">Statistical Results: </w:t>
      </w:r>
      <w:r w:rsidR="00283353" w:rsidRPr="00F67727">
        <w:t>Not Rated</w:t>
      </w:r>
    </w:p>
    <w:p w14:paraId="0020A641" w14:textId="4CF22675" w:rsidR="00387055" w:rsidRDefault="00387055" w:rsidP="00796125">
      <w:pPr>
        <w:pStyle w:val="Heading3"/>
        <w:keepNext/>
        <w:widowControl/>
        <w:tabs>
          <w:tab w:val="left" w:pos="720"/>
        </w:tabs>
      </w:pPr>
      <w:r>
        <w:t xml:space="preserve">Change In ROE </w:t>
      </w:r>
      <w:r w:rsidRPr="00F67727">
        <w:t>(</w:t>
      </w:r>
      <w:r>
        <w:t>Zhang</w:t>
      </w:r>
      <w:r w:rsidRPr="00F67727">
        <w:t>)</w:t>
      </w:r>
      <w:r w:rsidRPr="00387055">
        <w:t xml:space="preserve"> </w:t>
      </w:r>
      <w:r>
        <w:t xml:space="preserve">= ROE / ROE </w:t>
      </w:r>
      <w:r w:rsidR="008940DB">
        <w:t>from 4 quarters ago (last year)</w:t>
      </w:r>
    </w:p>
    <w:p w14:paraId="07AE3057" w14:textId="580F4D3A" w:rsidR="008940DB" w:rsidRPr="008940DB" w:rsidRDefault="008940DB" w:rsidP="00796125">
      <w:pPr>
        <w:pStyle w:val="NoSpacing"/>
        <w:tabs>
          <w:tab w:val="left" w:pos="720"/>
        </w:tabs>
        <w:spacing w:before="120"/>
      </w:pPr>
      <w:r w:rsidRPr="008940DB">
        <w:t>The four-quarter-change in Roe controls</w:t>
      </w:r>
      <w:r>
        <w:t xml:space="preserve"> </w:t>
      </w:r>
      <w:r w:rsidRPr="008940DB">
        <w:t xml:space="preserve">for seasonality, and likely better captures the underlying economic profitability than Roe </w:t>
      </w:r>
      <w:proofErr w:type="spellStart"/>
      <w:r>
        <w:t>ROE</w:t>
      </w:r>
      <w:proofErr w:type="spellEnd"/>
    </w:p>
    <w:p w14:paraId="75827784" w14:textId="2BA3C28C" w:rsidR="009C45B0" w:rsidRDefault="00215DAA" w:rsidP="00796125">
      <w:pPr>
        <w:pStyle w:val="NoSpacing"/>
        <w:tabs>
          <w:tab w:val="left" w:pos="720"/>
        </w:tabs>
        <w:spacing w:before="120"/>
      </w:pPr>
      <w:r w:rsidRPr="00215DAA">
        <w:rPr>
          <w:b/>
          <w:bCs/>
          <w:color w:val="auto"/>
        </w:rPr>
        <w:t xml:space="preserve">Zhang </w:t>
      </w:r>
      <w:r w:rsidR="009C45B0" w:rsidRPr="003428CB">
        <w:rPr>
          <w:b/>
          <w:bCs/>
        </w:rPr>
        <w:t xml:space="preserve">Statistical Results: </w:t>
      </w:r>
      <w:r w:rsidR="007C63F3" w:rsidRPr="007C63F3">
        <w:rPr>
          <w:b/>
          <w:bCs/>
          <w:color w:val="00B050"/>
        </w:rPr>
        <w:t xml:space="preserve">Very Significant </w:t>
      </w:r>
      <w:r w:rsidR="00505332" w:rsidRPr="007C63F3">
        <w:rPr>
          <w:b/>
          <w:bCs/>
          <w:color w:val="00B050"/>
        </w:rPr>
        <w:t>(t</w:t>
      </w:r>
      <w:r w:rsidR="00505332">
        <w:rPr>
          <w:b/>
          <w:bCs/>
          <w:color w:val="00B050"/>
        </w:rPr>
        <w:t>-</w:t>
      </w:r>
      <w:r w:rsidR="00505332" w:rsidRPr="007C63F3">
        <w:rPr>
          <w:b/>
          <w:bCs/>
          <w:color w:val="00B050"/>
        </w:rPr>
        <w:t xml:space="preserve">test </w:t>
      </w:r>
      <w:r w:rsidR="00505332" w:rsidRPr="00505332">
        <w:rPr>
          <w:b/>
          <w:bCs/>
          <w:color w:val="00B050"/>
        </w:rPr>
        <w:t>≥</w:t>
      </w:r>
      <w:r w:rsidR="00505332" w:rsidRPr="007C63F3">
        <w:rPr>
          <w:b/>
          <w:bCs/>
          <w:color w:val="00B050"/>
        </w:rPr>
        <w:t xml:space="preserve"> 3) </w:t>
      </w:r>
      <w:r w:rsidR="007C63F3" w:rsidRPr="007C63F3">
        <w:rPr>
          <w:b/>
          <w:bCs/>
          <w:color w:val="00B050"/>
        </w:rPr>
        <w:t>more than 99% confident</w:t>
      </w:r>
      <w:r w:rsidR="007C63F3">
        <w:rPr>
          <w:b/>
          <w:bCs/>
          <w:color w:val="00B050"/>
        </w:rPr>
        <w:t xml:space="preserve"> at 1- and 6-month period.</w:t>
      </w:r>
    </w:p>
    <w:p w14:paraId="2930058E" w14:textId="5E82E83C" w:rsidR="009C45B0" w:rsidRPr="007C63F3" w:rsidRDefault="009C45B0" w:rsidP="00796125">
      <w:pPr>
        <w:tabs>
          <w:tab w:val="left" w:pos="720"/>
        </w:tabs>
        <w:ind w:left="360"/>
      </w:pPr>
      <w:r w:rsidRPr="007C63F3">
        <w:t>dRoe1 = One Month Holding Period 0.76% average monthly return with 5.43 t-statistic</w:t>
      </w:r>
    </w:p>
    <w:p w14:paraId="75B132A1" w14:textId="16F1A9DD" w:rsidR="009C45B0" w:rsidRPr="007C63F3" w:rsidRDefault="009C45B0" w:rsidP="00796125">
      <w:pPr>
        <w:tabs>
          <w:tab w:val="left" w:pos="720"/>
        </w:tabs>
        <w:ind w:left="360"/>
      </w:pPr>
      <w:r w:rsidRPr="007C63F3">
        <w:t>dRoe6 = Six Month Holding Period 0.39% average monthly return with 3.28 t-statistic</w:t>
      </w:r>
    </w:p>
    <w:p w14:paraId="27FDB031" w14:textId="42275EEE" w:rsidR="009C45B0" w:rsidRDefault="009C45B0" w:rsidP="00796125">
      <w:pPr>
        <w:tabs>
          <w:tab w:val="left" w:pos="720"/>
        </w:tabs>
        <w:ind w:left="360"/>
      </w:pPr>
      <w:r w:rsidRPr="007C63F3">
        <w:t>dRoe12 = Twelve Month Holding Period 0.27% average monthly return with 2.57 t-statistic</w:t>
      </w:r>
    </w:p>
    <w:p w14:paraId="5209A45E" w14:textId="77777777" w:rsidR="00215DAA" w:rsidRPr="007C63F3" w:rsidRDefault="00215DAA" w:rsidP="00796125">
      <w:pPr>
        <w:pStyle w:val="Heading3"/>
        <w:keepNext/>
        <w:widowControl/>
        <w:tabs>
          <w:tab w:val="left" w:pos="720"/>
        </w:tabs>
      </w:pPr>
      <w:r w:rsidRPr="007C63F3">
        <w:t>Cash-based Operating Profitability</w:t>
      </w:r>
    </w:p>
    <w:p w14:paraId="56F39A2A" w14:textId="77777777" w:rsidR="00215DAA" w:rsidRPr="007C63F3" w:rsidRDefault="00215DAA" w:rsidP="00796125">
      <w:pPr>
        <w:pStyle w:val="NoSpacing"/>
        <w:tabs>
          <w:tab w:val="left" w:pos="720"/>
        </w:tabs>
        <w:spacing w:before="120"/>
      </w:pPr>
      <w:r w:rsidRPr="007C63F3">
        <w:t xml:space="preserve">Following Ball, </w:t>
      </w:r>
      <w:proofErr w:type="spellStart"/>
      <w:r w:rsidRPr="007C63F3">
        <w:t>Gerakos</w:t>
      </w:r>
      <w:proofErr w:type="spellEnd"/>
      <w:r w:rsidRPr="007C63F3">
        <w:t xml:space="preserve">, </w:t>
      </w:r>
      <w:proofErr w:type="spellStart"/>
      <w:r w:rsidRPr="007C63F3">
        <w:t>Linnainmaa</w:t>
      </w:r>
      <w:proofErr w:type="spellEnd"/>
      <w:r w:rsidRPr="007C63F3">
        <w:t xml:space="preserve">, and Nikolaev (2016), </w:t>
      </w:r>
      <w:r>
        <w:t>they</w:t>
      </w:r>
      <w:r w:rsidRPr="007C63F3">
        <w:t xml:space="preserve"> measure</w:t>
      </w:r>
      <w:r>
        <w:t>d</w:t>
      </w:r>
      <w:r w:rsidRPr="007C63F3">
        <w:t xml:space="preserve"> cash-based operating profitability, Cop, as total revenue (</w:t>
      </w:r>
      <w:proofErr w:type="spellStart"/>
      <w:r w:rsidRPr="007C63F3">
        <w:t>Compustat</w:t>
      </w:r>
      <w:proofErr w:type="spellEnd"/>
      <w:r w:rsidRPr="007C63F3">
        <w:t xml:space="preserve"> annual item REVT) minus cost of goods sold (item COGS), minus selling, general, and administrative expenses (item XSGA), plus research and development expenditures (item XRD, zero if missing), minus change in accounts receivable (item RECT), minus change in inventory (item INVT), minus change in prepaid expenses (item XPP), plus change in deferred revenue (item DRC plus item DRLT), plus change in trade accounts payable (item AP), and plus change in accrued expenses (item XACC), all scaled by book assets </w:t>
      </w:r>
    </w:p>
    <w:p w14:paraId="5A6E2C4D" w14:textId="64C2ACC3" w:rsidR="00215DAA" w:rsidRPr="007C63F3" w:rsidRDefault="00215DAA" w:rsidP="00796125">
      <w:pPr>
        <w:pStyle w:val="NoSpacing"/>
        <w:tabs>
          <w:tab w:val="left" w:pos="720"/>
        </w:tabs>
        <w:spacing w:before="120"/>
      </w:pPr>
      <w:r w:rsidRPr="00215DAA">
        <w:rPr>
          <w:b/>
          <w:bCs/>
          <w:color w:val="auto"/>
        </w:rPr>
        <w:t xml:space="preserve">Zhang </w:t>
      </w:r>
      <w:r w:rsidRPr="007C63F3">
        <w:rPr>
          <w:b/>
          <w:bCs/>
        </w:rPr>
        <w:t xml:space="preserve">Statistical Results: </w:t>
      </w:r>
      <w:r w:rsidRPr="007C63F3">
        <w:rPr>
          <w:b/>
          <w:bCs/>
          <w:color w:val="00B050"/>
        </w:rPr>
        <w:t xml:space="preserve">Very Significant </w:t>
      </w:r>
      <w:r w:rsidR="00505332" w:rsidRPr="007C63F3">
        <w:rPr>
          <w:b/>
          <w:bCs/>
          <w:color w:val="00B050"/>
        </w:rPr>
        <w:t>(t</w:t>
      </w:r>
      <w:r w:rsidR="00505332">
        <w:rPr>
          <w:b/>
          <w:bCs/>
          <w:color w:val="00B050"/>
        </w:rPr>
        <w:t>-</w:t>
      </w:r>
      <w:r w:rsidR="00505332" w:rsidRPr="007C63F3">
        <w:rPr>
          <w:b/>
          <w:bCs/>
          <w:color w:val="00B050"/>
        </w:rPr>
        <w:t xml:space="preserve">test </w:t>
      </w:r>
      <w:r w:rsidR="00505332" w:rsidRPr="00505332">
        <w:rPr>
          <w:b/>
          <w:bCs/>
          <w:color w:val="00B050"/>
        </w:rPr>
        <w:t>≥</w:t>
      </w:r>
      <w:r w:rsidR="00505332" w:rsidRPr="007C63F3">
        <w:rPr>
          <w:b/>
          <w:bCs/>
          <w:color w:val="00B050"/>
        </w:rPr>
        <w:t xml:space="preserve"> 3) </w:t>
      </w:r>
      <w:r w:rsidRPr="007C63F3">
        <w:rPr>
          <w:b/>
          <w:bCs/>
          <w:color w:val="00B050"/>
        </w:rPr>
        <w:t>more than 99% confident</w:t>
      </w:r>
    </w:p>
    <w:p w14:paraId="4FA66727" w14:textId="77777777" w:rsidR="00215DAA" w:rsidRPr="007C63F3" w:rsidRDefault="00215DAA" w:rsidP="00796125">
      <w:pPr>
        <w:tabs>
          <w:tab w:val="left" w:pos="720"/>
        </w:tabs>
        <w:ind w:left="360"/>
      </w:pPr>
      <w:r w:rsidRPr="007C63F3">
        <w:t>Cop = Annual rebalance 0.63% average monthly return with 3.44 t-statistic</w:t>
      </w:r>
    </w:p>
    <w:p w14:paraId="3DD03390" w14:textId="77777777" w:rsidR="00215DAA" w:rsidRPr="007C63F3" w:rsidRDefault="00215DAA" w:rsidP="00796125">
      <w:pPr>
        <w:pStyle w:val="Heading3"/>
        <w:keepNext/>
        <w:widowControl/>
        <w:tabs>
          <w:tab w:val="left" w:pos="720"/>
        </w:tabs>
      </w:pPr>
      <w:r w:rsidRPr="007C63F3">
        <w:t>Cash-based Operating Profits-to-lagged Assets</w:t>
      </w:r>
    </w:p>
    <w:p w14:paraId="7756E078" w14:textId="77777777" w:rsidR="00215DAA" w:rsidRDefault="00215DAA" w:rsidP="00796125">
      <w:pPr>
        <w:pStyle w:val="NoSpacing"/>
        <w:tabs>
          <w:tab w:val="left" w:pos="720"/>
        </w:tabs>
        <w:spacing w:before="120"/>
      </w:pPr>
      <w:r w:rsidRPr="007C63F3">
        <w:t xml:space="preserve">Quarterly cash-based operating profits-to-lagged assets, </w:t>
      </w:r>
      <w:proofErr w:type="spellStart"/>
      <w:r w:rsidRPr="007C63F3">
        <w:t>Cla</w:t>
      </w:r>
      <w:proofErr w:type="spellEnd"/>
      <w:r w:rsidRPr="007C63F3">
        <w:t>, is quarterly total revenue (</w:t>
      </w:r>
      <w:proofErr w:type="spellStart"/>
      <w:r w:rsidRPr="007C63F3">
        <w:t>Compustat</w:t>
      </w:r>
      <w:proofErr w:type="spellEnd"/>
      <w:r w:rsidRPr="007C63F3">
        <w:t xml:space="preserve"> quarterly item REVTQ) minus cost of goods sold (item COGSQ), minus selling, general, and administrative expenses (item XSGAQ), plus research and development expenditures (item XRDQ, zero if missing), minus change in accounts receivable (item RECTQ), minus change in inventory (item INVTQ), plus change in deferred revenue (item DRCQ plus item DRLTQ), and plus change in trade accounts payable (item APQ), all scaled by one-quarter</w:t>
      </w:r>
      <w:r>
        <w:t xml:space="preserve">-lagged book assets (item ATQ). All changes are quarterly changes in balance sheet items and they set missing changes to zero. At the beginning of each month t, they split stocks on </w:t>
      </w:r>
      <w:proofErr w:type="spellStart"/>
      <w:r>
        <w:t>Claq</w:t>
      </w:r>
      <w:proofErr w:type="spellEnd"/>
      <w:r>
        <w:t xml:space="preserve"> for the fiscal quarter ending at least four months ago. Monthly decile returns are calculated for month t (Claq1), from month t to t + 5 (Claq6), and from month t to t + 11 (Claq12). The deciles are rebalanced at the beginning of t + 1. The holding period longer than one month as in Claq6 means that for a given decile in each month there exist six </w:t>
      </w:r>
      <w:proofErr w:type="spellStart"/>
      <w:r>
        <w:t>subdeciles</w:t>
      </w:r>
      <w:proofErr w:type="spellEnd"/>
      <w:r>
        <w:t xml:space="preserve">, each initiated in a different month in the prior six months. They took the simple average of the </w:t>
      </w:r>
      <w:proofErr w:type="spellStart"/>
      <w:r>
        <w:t>subdecile</w:t>
      </w:r>
      <w:proofErr w:type="spellEnd"/>
      <w:r>
        <w:t xml:space="preserve"> returns as the monthly return of the Claq6 decile. For sufficient data coverage, the </w:t>
      </w:r>
      <w:proofErr w:type="spellStart"/>
      <w:r>
        <w:t>Claq</w:t>
      </w:r>
      <w:proofErr w:type="spellEnd"/>
      <w:r>
        <w:t xml:space="preserve"> portfolios start in January 1976.</w:t>
      </w:r>
    </w:p>
    <w:p w14:paraId="5AEE4E88" w14:textId="1F6E20C3" w:rsidR="00215DAA" w:rsidRDefault="00215DAA" w:rsidP="00796125">
      <w:pPr>
        <w:pStyle w:val="NoSpacing"/>
        <w:tabs>
          <w:tab w:val="left" w:pos="720"/>
        </w:tabs>
        <w:spacing w:before="120"/>
      </w:pPr>
      <w:r w:rsidRPr="00215DAA">
        <w:rPr>
          <w:b/>
          <w:bCs/>
          <w:color w:val="auto"/>
        </w:rPr>
        <w:t xml:space="preserve">Zhang </w:t>
      </w:r>
      <w:r w:rsidRPr="003428CB">
        <w:rPr>
          <w:b/>
          <w:bCs/>
        </w:rPr>
        <w:t xml:space="preserve">Statistical Results: </w:t>
      </w:r>
      <w:r w:rsidRPr="00B97D22">
        <w:rPr>
          <w:b/>
          <w:bCs/>
          <w:color w:val="00B050"/>
        </w:rPr>
        <w:t xml:space="preserve">Very Significant </w:t>
      </w:r>
      <w:r w:rsidR="00505332" w:rsidRPr="007C63F3">
        <w:rPr>
          <w:b/>
          <w:bCs/>
          <w:color w:val="00B050"/>
        </w:rPr>
        <w:t>(t</w:t>
      </w:r>
      <w:r w:rsidR="00505332">
        <w:rPr>
          <w:b/>
          <w:bCs/>
          <w:color w:val="00B050"/>
        </w:rPr>
        <w:t>-</w:t>
      </w:r>
      <w:r w:rsidR="00505332" w:rsidRPr="007C63F3">
        <w:rPr>
          <w:b/>
          <w:bCs/>
          <w:color w:val="00B050"/>
        </w:rPr>
        <w:t xml:space="preserve">test </w:t>
      </w:r>
      <w:r w:rsidR="00505332" w:rsidRPr="00505332">
        <w:rPr>
          <w:b/>
          <w:bCs/>
          <w:color w:val="00B050"/>
        </w:rPr>
        <w:t>≥</w:t>
      </w:r>
      <w:r w:rsidR="00505332" w:rsidRPr="007C63F3">
        <w:rPr>
          <w:b/>
          <w:bCs/>
          <w:color w:val="00B050"/>
        </w:rPr>
        <w:t xml:space="preserve"> 3)</w:t>
      </w:r>
      <w:r>
        <w:rPr>
          <w:b/>
          <w:bCs/>
          <w:color w:val="00B050"/>
        </w:rPr>
        <w:t>more than 99% confident</w:t>
      </w:r>
    </w:p>
    <w:p w14:paraId="0347A9D3" w14:textId="77777777" w:rsidR="00215DAA" w:rsidRPr="007C63F3" w:rsidRDefault="00215DAA" w:rsidP="00796125">
      <w:pPr>
        <w:tabs>
          <w:tab w:val="left" w:pos="720"/>
        </w:tabs>
        <w:ind w:left="360"/>
      </w:pPr>
      <w:proofErr w:type="spellStart"/>
      <w:r w:rsidRPr="007C63F3">
        <w:t>Cla</w:t>
      </w:r>
      <w:proofErr w:type="spellEnd"/>
      <w:r w:rsidRPr="007C63F3">
        <w:t>= Annual rebalance 0.53% average monthly return with 3.02 t-statistic</w:t>
      </w:r>
    </w:p>
    <w:p w14:paraId="6F4AC523" w14:textId="77777777" w:rsidR="00215DAA" w:rsidRPr="007C63F3" w:rsidRDefault="00215DAA" w:rsidP="00796125">
      <w:pPr>
        <w:tabs>
          <w:tab w:val="left" w:pos="720"/>
        </w:tabs>
        <w:ind w:left="360"/>
      </w:pPr>
      <w:r w:rsidRPr="007C63F3">
        <w:t>Cla</w:t>
      </w:r>
      <w:r w:rsidRPr="007C63F3">
        <w:rPr>
          <w:vertAlign w:val="superscript"/>
        </w:rPr>
        <w:t>q</w:t>
      </w:r>
      <w:r w:rsidRPr="007C63F3">
        <w:t>1= One Month Holding Period 0.49% average monthly return with 3.02 t-statistic</w:t>
      </w:r>
    </w:p>
    <w:p w14:paraId="2279C67B" w14:textId="77777777" w:rsidR="00215DAA" w:rsidRPr="007C63F3" w:rsidRDefault="00215DAA" w:rsidP="00796125">
      <w:pPr>
        <w:tabs>
          <w:tab w:val="left" w:pos="720"/>
        </w:tabs>
        <w:ind w:left="360"/>
      </w:pPr>
      <w:r w:rsidRPr="007C63F3">
        <w:t>Cla</w:t>
      </w:r>
      <w:r w:rsidRPr="007C63F3">
        <w:rPr>
          <w:vertAlign w:val="superscript"/>
        </w:rPr>
        <w:t>q</w:t>
      </w:r>
      <w:r w:rsidRPr="007C63F3">
        <w:t>6 = Six Month Holding Period 0.48% average monthly return with 3.45 t-statistic</w:t>
      </w:r>
    </w:p>
    <w:p w14:paraId="7B71A666" w14:textId="5F12EABF" w:rsidR="00215DAA" w:rsidRDefault="00215DAA" w:rsidP="00796125">
      <w:pPr>
        <w:tabs>
          <w:tab w:val="left" w:pos="720"/>
        </w:tabs>
        <w:ind w:left="360"/>
      </w:pPr>
      <w:r w:rsidRPr="007C63F3">
        <w:t>Cla</w:t>
      </w:r>
      <w:r w:rsidRPr="007C63F3">
        <w:rPr>
          <w:vertAlign w:val="superscript"/>
        </w:rPr>
        <w:t>q</w:t>
      </w:r>
      <w:r w:rsidRPr="007C63F3">
        <w:t>12 = Twelve Month Holding Period 0.47% average monthly return with 3.57 t-statistic</w:t>
      </w:r>
    </w:p>
    <w:p w14:paraId="590233D2" w14:textId="3C4826E7" w:rsidR="00A0623C" w:rsidRDefault="0050509F" w:rsidP="00796125">
      <w:pPr>
        <w:pStyle w:val="Heading2"/>
        <w:tabs>
          <w:tab w:val="left" w:pos="720"/>
        </w:tabs>
      </w:pPr>
      <w:r>
        <w:lastRenderedPageBreak/>
        <w:t>Select</w:t>
      </w:r>
      <w:r w:rsidR="00A0623C" w:rsidRPr="00215DAA">
        <w:t xml:space="preserve"> </w:t>
      </w:r>
      <w:r w:rsidR="00A0623C">
        <w:t>Intangible</w:t>
      </w:r>
      <w:r w:rsidR="00A0623C" w:rsidRPr="00215DAA">
        <w:t xml:space="preserve"> </w:t>
      </w:r>
      <w:r w:rsidRPr="00215DAA">
        <w:t>Anomalies</w:t>
      </w:r>
    </w:p>
    <w:p w14:paraId="6C5D5D57" w14:textId="65E9E24B" w:rsidR="00C1658B" w:rsidRDefault="00265A95" w:rsidP="00796125">
      <w:pPr>
        <w:pStyle w:val="Heading3"/>
        <w:keepNext/>
        <w:widowControl/>
        <w:tabs>
          <w:tab w:val="left" w:pos="720"/>
        </w:tabs>
      </w:pPr>
      <w:r>
        <w:t>R&amp;D Expense to market</w:t>
      </w:r>
    </w:p>
    <w:p w14:paraId="4AF1B5AC" w14:textId="28F478DE" w:rsidR="00B77F31" w:rsidRDefault="00265A95" w:rsidP="00796125">
      <w:pPr>
        <w:tabs>
          <w:tab w:val="left" w:pos="720"/>
        </w:tabs>
        <w:spacing w:before="60"/>
      </w:pPr>
      <w:r>
        <w:t xml:space="preserve">At the beginning of each month t, we split stocks into deciles based on quarterly R&amp;D-to-market, </w:t>
      </w:r>
      <w:proofErr w:type="spellStart"/>
      <w:r>
        <w:t>Rdm</w:t>
      </w:r>
      <w:r w:rsidR="00B77F31" w:rsidRPr="00265A95">
        <w:rPr>
          <w:vertAlign w:val="superscript"/>
        </w:rPr>
        <w:t>q</w:t>
      </w:r>
      <w:proofErr w:type="spellEnd"/>
      <w:r>
        <w:t xml:space="preserve"> , which is quarterly R&amp;D expense (</w:t>
      </w:r>
      <w:proofErr w:type="spellStart"/>
      <w:r>
        <w:t>Compustat</w:t>
      </w:r>
      <w:proofErr w:type="spellEnd"/>
      <w:r>
        <w:t xml:space="preserve"> quarterly item XRDQ) for the fiscal quarter ending at least four months ago scaled by the market equity (from CRSP) at the end of t − 1. For firms with more than one share class, we merge the market equity for all share classes before computing </w:t>
      </w:r>
      <w:proofErr w:type="spellStart"/>
      <w:r w:rsidR="00B77F31">
        <w:t>Rdm</w:t>
      </w:r>
      <w:r w:rsidR="00B77F31" w:rsidRPr="00265A95">
        <w:rPr>
          <w:vertAlign w:val="superscript"/>
        </w:rPr>
        <w:t>q</w:t>
      </w:r>
      <w:proofErr w:type="spellEnd"/>
      <w:r>
        <w:t xml:space="preserve">. </w:t>
      </w:r>
      <w:r w:rsidRPr="00B77F31">
        <w:rPr>
          <w:b/>
          <w:bCs/>
        </w:rPr>
        <w:t>We keep only firms with positive R&amp;D expenses.</w:t>
      </w:r>
      <w:r>
        <w:t xml:space="preserve"> </w:t>
      </w:r>
    </w:p>
    <w:p w14:paraId="55CB8D3E" w14:textId="71FB261A" w:rsidR="00265A95" w:rsidRDefault="00265A95" w:rsidP="00796125">
      <w:pPr>
        <w:tabs>
          <w:tab w:val="left" w:pos="720"/>
        </w:tabs>
        <w:spacing w:before="60"/>
      </w:pPr>
      <w:r>
        <w:t xml:space="preserve">We calculate decile returns for the current month t (Rdmq1), from month t to t + 5 (Rdmq6), and from month t to t + 11 (Rdmq12), and the deciles are rebalanced at the beginning of month t + 1. The holding period longer than one month as in, for instance, Rdmq6, means that for a given decile in each month there exist six </w:t>
      </w:r>
      <w:proofErr w:type="spellStart"/>
      <w:r>
        <w:t>subdeciles</w:t>
      </w:r>
      <w:proofErr w:type="spellEnd"/>
      <w:r>
        <w:t xml:space="preserve">, each of which is initiated in a different month in the prior six months. We take the simple average of the </w:t>
      </w:r>
      <w:proofErr w:type="spellStart"/>
      <w:r>
        <w:t>subdecile</w:t>
      </w:r>
      <w:proofErr w:type="spellEnd"/>
      <w:r>
        <w:t xml:space="preserve"> returns as the monthly return of the Rdmq6 decile. Because the quarterly R&amp;D data start in late 1989, the </w:t>
      </w:r>
      <w:proofErr w:type="spellStart"/>
      <w:r w:rsidR="00B77F31">
        <w:t>Rdm</w:t>
      </w:r>
      <w:r w:rsidR="00B77F31" w:rsidRPr="00265A95">
        <w:rPr>
          <w:vertAlign w:val="superscript"/>
        </w:rPr>
        <w:t>q</w:t>
      </w:r>
      <w:proofErr w:type="spellEnd"/>
      <w:r w:rsidR="00B77F31">
        <w:t xml:space="preserve"> </w:t>
      </w:r>
      <w:r>
        <w:t>portfolios start in January 1990.</w:t>
      </w:r>
    </w:p>
    <w:p w14:paraId="6CA8D609" w14:textId="14353FCE" w:rsidR="00265A95" w:rsidRDefault="00265A95" w:rsidP="00796125">
      <w:pPr>
        <w:pStyle w:val="NoSpacing"/>
        <w:tabs>
          <w:tab w:val="left" w:pos="720"/>
        </w:tabs>
        <w:spacing w:before="120"/>
      </w:pPr>
      <w:r w:rsidRPr="00215DAA">
        <w:rPr>
          <w:b/>
          <w:bCs/>
          <w:color w:val="auto"/>
        </w:rPr>
        <w:t xml:space="preserve">Zhang </w:t>
      </w:r>
      <w:r w:rsidRPr="003428CB">
        <w:rPr>
          <w:b/>
          <w:bCs/>
        </w:rPr>
        <w:t xml:space="preserve">Statistical Results: </w:t>
      </w:r>
      <w:r w:rsidRPr="007C63F3">
        <w:rPr>
          <w:b/>
          <w:bCs/>
          <w:color w:val="00B050"/>
        </w:rPr>
        <w:t>Significant at the 95% confidence level</w:t>
      </w:r>
      <w:r>
        <w:rPr>
          <w:b/>
          <w:bCs/>
          <w:color w:val="00B050"/>
        </w:rPr>
        <w:t xml:space="preserve"> across all 4 holding periods.</w:t>
      </w:r>
    </w:p>
    <w:p w14:paraId="2CB84124" w14:textId="0C620F5F" w:rsidR="00265A95" w:rsidRDefault="00265A95" w:rsidP="00796125">
      <w:pPr>
        <w:tabs>
          <w:tab w:val="left" w:pos="720"/>
        </w:tabs>
        <w:ind w:left="360"/>
      </w:pPr>
      <w:proofErr w:type="spellStart"/>
      <w:r>
        <w:t>Rdm</w:t>
      </w:r>
      <w:proofErr w:type="spellEnd"/>
      <w:r>
        <w:t xml:space="preserve"> </w:t>
      </w:r>
      <w:r w:rsidRPr="007C63F3">
        <w:t xml:space="preserve">= Annual </w:t>
      </w:r>
      <w:r w:rsidR="00905495">
        <w:t xml:space="preserve">June </w:t>
      </w:r>
      <w:r w:rsidRPr="007C63F3">
        <w:t>rebalance</w:t>
      </w:r>
      <w:r>
        <w:t xml:space="preserve"> 0.68</w:t>
      </w:r>
      <w:r w:rsidRPr="007C63F3">
        <w:t>% average monthly return with</w:t>
      </w:r>
      <w:r>
        <w:t xml:space="preserve"> 2.58</w:t>
      </w:r>
      <w:r w:rsidR="005428C4" w:rsidRPr="007C63F3">
        <w:t xml:space="preserve"> t-statistic</w:t>
      </w:r>
    </w:p>
    <w:p w14:paraId="4D9209B2" w14:textId="1047B52A" w:rsidR="00265A95" w:rsidRDefault="00265A95" w:rsidP="00796125">
      <w:pPr>
        <w:tabs>
          <w:tab w:val="left" w:pos="720"/>
        </w:tabs>
        <w:ind w:left="360"/>
      </w:pPr>
      <w:r>
        <w:t>Rdm</w:t>
      </w:r>
      <w:r w:rsidRPr="00265A95">
        <w:rPr>
          <w:vertAlign w:val="superscript"/>
        </w:rPr>
        <w:t>q</w:t>
      </w:r>
      <w:r>
        <w:t xml:space="preserve">1 </w:t>
      </w:r>
      <w:r w:rsidRPr="007C63F3">
        <w:t>= One Month Holding Period</w:t>
      </w:r>
      <w:r>
        <w:t xml:space="preserve"> 1.19</w:t>
      </w:r>
      <w:r w:rsidRPr="007C63F3">
        <w:t>% average monthly return with</w:t>
      </w:r>
      <w:r>
        <w:t xml:space="preserve"> 2.93</w:t>
      </w:r>
      <w:r w:rsidR="005428C4" w:rsidRPr="007C63F3">
        <w:t xml:space="preserve"> t-statistic</w:t>
      </w:r>
    </w:p>
    <w:p w14:paraId="30CC77F5" w14:textId="1130EF14" w:rsidR="00265A95" w:rsidRDefault="00265A95" w:rsidP="00796125">
      <w:pPr>
        <w:tabs>
          <w:tab w:val="left" w:pos="720"/>
        </w:tabs>
        <w:ind w:left="360"/>
      </w:pPr>
      <w:r>
        <w:t>Rdm</w:t>
      </w:r>
      <w:r w:rsidRPr="00265A95">
        <w:rPr>
          <w:vertAlign w:val="superscript"/>
        </w:rPr>
        <w:t>q</w:t>
      </w:r>
      <w:r>
        <w:t>6</w:t>
      </w:r>
      <w:r w:rsidRPr="00265A95">
        <w:t xml:space="preserve"> </w:t>
      </w:r>
      <w:r w:rsidRPr="007C63F3">
        <w:t xml:space="preserve">= Six Month Holding Period </w:t>
      </w:r>
      <w:r>
        <w:t>0.83</w:t>
      </w:r>
      <w:r w:rsidRPr="007C63F3">
        <w:t>% average monthly return with</w:t>
      </w:r>
      <w:r>
        <w:t xml:space="preserve"> 2.12</w:t>
      </w:r>
      <w:r w:rsidR="005428C4" w:rsidRPr="007C63F3">
        <w:t xml:space="preserve"> t-statistic</w:t>
      </w:r>
    </w:p>
    <w:p w14:paraId="31FC0A94" w14:textId="35CB7453" w:rsidR="00265A95" w:rsidRDefault="00265A95" w:rsidP="00796125">
      <w:pPr>
        <w:tabs>
          <w:tab w:val="left" w:pos="720"/>
        </w:tabs>
        <w:ind w:left="360"/>
      </w:pPr>
      <w:r>
        <w:t>Rdm</w:t>
      </w:r>
      <w:r w:rsidRPr="00265A95">
        <w:rPr>
          <w:vertAlign w:val="superscript"/>
        </w:rPr>
        <w:t>q</w:t>
      </w:r>
      <w:r>
        <w:t>12</w:t>
      </w:r>
      <w:r w:rsidRPr="007C63F3">
        <w:t xml:space="preserve"> = Twelve Month Holding Period</w:t>
      </w:r>
      <w:r>
        <w:t xml:space="preserve"> 0.83</w:t>
      </w:r>
      <w:r w:rsidRPr="007C63F3">
        <w:t>% average monthly return with</w:t>
      </w:r>
      <w:r>
        <w:t xml:space="preserve"> 2.32</w:t>
      </w:r>
      <w:r w:rsidR="005428C4" w:rsidRPr="007C63F3">
        <w:t xml:space="preserve"> t-statistic</w:t>
      </w:r>
    </w:p>
    <w:p w14:paraId="0E7CC92B" w14:textId="7591F48D" w:rsidR="005428C4" w:rsidRDefault="005428C4" w:rsidP="00796125">
      <w:pPr>
        <w:pStyle w:val="Heading3"/>
        <w:keepNext/>
        <w:widowControl/>
        <w:tabs>
          <w:tab w:val="left" w:pos="720"/>
        </w:tabs>
      </w:pPr>
      <w:r>
        <w:t>Operating Leverage</w:t>
      </w:r>
    </w:p>
    <w:p w14:paraId="7782D585" w14:textId="7A9F9165" w:rsidR="005428C4" w:rsidRDefault="005428C4" w:rsidP="00796125">
      <w:pPr>
        <w:pStyle w:val="NoSpacing"/>
        <w:tabs>
          <w:tab w:val="left" w:pos="720"/>
        </w:tabs>
        <w:spacing w:before="120"/>
      </w:pPr>
      <w:r>
        <w:t xml:space="preserve">At the beginning of each month t, we split stocks into deciles based on quarterly operating leverage, </w:t>
      </w:r>
      <w:proofErr w:type="spellStart"/>
      <w:r>
        <w:t>Olq</w:t>
      </w:r>
      <w:proofErr w:type="spellEnd"/>
      <w:r>
        <w:t xml:space="preserve"> , which is quarterly operating costs divided by assets (</w:t>
      </w:r>
      <w:proofErr w:type="spellStart"/>
      <w:r>
        <w:t>Compustat</w:t>
      </w:r>
      <w:proofErr w:type="spellEnd"/>
      <w:r>
        <w:t xml:space="preserve"> quarterly item ATQ) for the fiscal quarter ending at least four months ago. Operating costs are the cost of goods sold (item COGSQ) plus selling, general, and administrative expenses (item XSGAQ). We calculate decile returns for the current month t (Olq1), from month t to t + 5 (Olq6), and from month t to t + 11 (Olq12), and the deciles are rebalanced at the beginning of month t + 1. The holding period longer than one month as in, for instance, Olq6, means that for a given decile in each month there exist six </w:t>
      </w:r>
      <w:proofErr w:type="spellStart"/>
      <w:r>
        <w:t>subdeciles</w:t>
      </w:r>
      <w:proofErr w:type="spellEnd"/>
      <w:r>
        <w:t xml:space="preserve">, each of which is initiated in a different month in the prior six months. We take the simple average of the </w:t>
      </w:r>
      <w:proofErr w:type="spellStart"/>
      <w:r>
        <w:t>subdecile</w:t>
      </w:r>
      <w:proofErr w:type="spellEnd"/>
      <w:r>
        <w:t xml:space="preserve"> returns as the monthly return of the Olq6 decile. For sufficient data coverage, the </w:t>
      </w:r>
      <w:proofErr w:type="spellStart"/>
      <w:r>
        <w:t>Olq</w:t>
      </w:r>
      <w:proofErr w:type="spellEnd"/>
      <w:r>
        <w:t xml:space="preserve"> portfolios start in January 1972.</w:t>
      </w:r>
      <w:r w:rsidRPr="00215DAA">
        <w:rPr>
          <w:b/>
          <w:bCs/>
          <w:color w:val="auto"/>
        </w:rPr>
        <w:t xml:space="preserve">Zhang </w:t>
      </w:r>
      <w:r w:rsidRPr="003428CB">
        <w:rPr>
          <w:b/>
          <w:bCs/>
        </w:rPr>
        <w:t xml:space="preserve">Statistical Results: </w:t>
      </w:r>
      <w:r w:rsidRPr="007C63F3">
        <w:rPr>
          <w:b/>
          <w:bCs/>
          <w:color w:val="00B050"/>
        </w:rPr>
        <w:t>Significant at the 95% confidence level</w:t>
      </w:r>
      <w:r>
        <w:rPr>
          <w:b/>
          <w:bCs/>
          <w:color w:val="00B050"/>
        </w:rPr>
        <w:t xml:space="preserve"> across all 4 holding periods.</w:t>
      </w:r>
    </w:p>
    <w:p w14:paraId="71464972" w14:textId="028D1D09" w:rsidR="005428C4" w:rsidRDefault="005428C4" w:rsidP="00796125">
      <w:pPr>
        <w:tabs>
          <w:tab w:val="left" w:pos="720"/>
        </w:tabs>
        <w:ind w:left="360"/>
      </w:pPr>
      <w:proofErr w:type="spellStart"/>
      <w:r>
        <w:t>Ol</w:t>
      </w:r>
      <w:proofErr w:type="spellEnd"/>
      <w:r>
        <w:t xml:space="preserve"> </w:t>
      </w:r>
      <w:r w:rsidRPr="007C63F3">
        <w:t xml:space="preserve">= Annual </w:t>
      </w:r>
      <w:r w:rsidR="00905495">
        <w:t xml:space="preserve">June </w:t>
      </w:r>
      <w:r w:rsidRPr="007C63F3">
        <w:t>rebalance</w:t>
      </w:r>
      <w:r>
        <w:t xml:space="preserve"> 0.46</w:t>
      </w:r>
      <w:r w:rsidRPr="007C63F3">
        <w:t xml:space="preserve"> % average monthly return with</w:t>
      </w:r>
      <w:r>
        <w:t xml:space="preserve"> 2.70</w:t>
      </w:r>
      <w:r w:rsidRPr="007C63F3">
        <w:t xml:space="preserve"> t-statistic</w:t>
      </w:r>
    </w:p>
    <w:p w14:paraId="307C9D9D" w14:textId="365826BB" w:rsidR="005428C4" w:rsidRDefault="005428C4" w:rsidP="00796125">
      <w:pPr>
        <w:tabs>
          <w:tab w:val="left" w:pos="720"/>
        </w:tabs>
        <w:ind w:left="360"/>
      </w:pPr>
      <w:proofErr w:type="spellStart"/>
      <w:r>
        <w:t>Ol</w:t>
      </w:r>
      <w:proofErr w:type="spellEnd"/>
      <w:r w:rsidRPr="00265A95">
        <w:rPr>
          <w:vertAlign w:val="superscript"/>
        </w:rPr>
        <w:t xml:space="preserve"> q</w:t>
      </w:r>
      <w:r>
        <w:t xml:space="preserve">1 </w:t>
      </w:r>
      <w:r w:rsidRPr="007C63F3">
        <w:t>= One Month Holding Period</w:t>
      </w:r>
      <w:r>
        <w:t xml:space="preserve"> 0.49</w:t>
      </w:r>
      <w:r w:rsidRPr="007C63F3">
        <w:t xml:space="preserve"> % average monthly return with</w:t>
      </w:r>
      <w:r>
        <w:t xml:space="preserve"> 2.52</w:t>
      </w:r>
      <w:r w:rsidRPr="007C63F3">
        <w:t xml:space="preserve"> t-statistic</w:t>
      </w:r>
    </w:p>
    <w:p w14:paraId="37B76BF9" w14:textId="1136C390" w:rsidR="005428C4" w:rsidRDefault="005428C4" w:rsidP="00796125">
      <w:pPr>
        <w:tabs>
          <w:tab w:val="left" w:pos="720"/>
        </w:tabs>
        <w:ind w:left="360"/>
      </w:pPr>
      <w:proofErr w:type="spellStart"/>
      <w:r>
        <w:t>Ol</w:t>
      </w:r>
      <w:proofErr w:type="spellEnd"/>
      <w:r w:rsidRPr="00265A95">
        <w:rPr>
          <w:vertAlign w:val="superscript"/>
        </w:rPr>
        <w:t xml:space="preserve"> q</w:t>
      </w:r>
      <w:r>
        <w:t>6</w:t>
      </w:r>
      <w:r w:rsidRPr="00265A95">
        <w:t xml:space="preserve"> </w:t>
      </w:r>
      <w:r w:rsidRPr="007C63F3">
        <w:t xml:space="preserve">= Six Month Holding Period </w:t>
      </w:r>
      <w:r>
        <w:t>0.49</w:t>
      </w:r>
      <w:r w:rsidRPr="007C63F3">
        <w:t xml:space="preserve"> % average monthly return with</w:t>
      </w:r>
      <w:r>
        <w:t xml:space="preserve"> 2.58</w:t>
      </w:r>
      <w:r w:rsidRPr="007C63F3">
        <w:t xml:space="preserve"> t-statistic</w:t>
      </w:r>
    </w:p>
    <w:p w14:paraId="5E3D7232" w14:textId="1033748A" w:rsidR="00265A95" w:rsidRDefault="005428C4" w:rsidP="00796125">
      <w:pPr>
        <w:tabs>
          <w:tab w:val="left" w:pos="720"/>
        </w:tabs>
        <w:ind w:left="360"/>
      </w:pPr>
      <w:r>
        <w:t>Ol</w:t>
      </w:r>
      <w:r w:rsidRPr="00265A95">
        <w:rPr>
          <w:vertAlign w:val="superscript"/>
        </w:rPr>
        <w:t>q</w:t>
      </w:r>
      <w:r>
        <w:t>12</w:t>
      </w:r>
      <w:r w:rsidRPr="007C63F3">
        <w:t xml:space="preserve"> = Twelve Month Holding Period</w:t>
      </w:r>
      <w:r>
        <w:t xml:space="preserve"> 0.49</w:t>
      </w:r>
      <w:r w:rsidRPr="007C63F3">
        <w:t>% average monthly return with</w:t>
      </w:r>
      <w:r>
        <w:t xml:space="preserve"> 2.73</w:t>
      </w:r>
      <w:r w:rsidRPr="007C63F3">
        <w:t xml:space="preserve"> t-statistic</w:t>
      </w:r>
    </w:p>
    <w:p w14:paraId="2C954874" w14:textId="62489754" w:rsidR="0062097C" w:rsidRPr="000A552D" w:rsidRDefault="000A552D" w:rsidP="00796125">
      <w:pPr>
        <w:pStyle w:val="Heading2"/>
        <w:tabs>
          <w:tab w:val="left" w:pos="720"/>
        </w:tabs>
      </w:pPr>
      <w:r>
        <w:t>Select</w:t>
      </w:r>
      <w:r w:rsidRPr="00215DAA">
        <w:t xml:space="preserve"> </w:t>
      </w:r>
      <w:r w:rsidRPr="000A552D">
        <w:t>Tradin</w:t>
      </w:r>
      <w:r>
        <w:t>g</w:t>
      </w:r>
      <w:r w:rsidRPr="000A552D">
        <w:t xml:space="preserve"> </w:t>
      </w:r>
      <w:r>
        <w:t>F</w:t>
      </w:r>
      <w:r w:rsidRPr="000A552D">
        <w:t>rictions</w:t>
      </w:r>
    </w:p>
    <w:p w14:paraId="19D74692" w14:textId="37EB682E" w:rsidR="00557CA0" w:rsidRPr="00215DAA" w:rsidRDefault="00557CA0" w:rsidP="00796125">
      <w:pPr>
        <w:pStyle w:val="Heading3"/>
        <w:keepNext/>
        <w:widowControl/>
        <w:tabs>
          <w:tab w:val="left" w:pos="720"/>
        </w:tabs>
      </w:pPr>
      <w:r w:rsidRPr="00215DAA">
        <w:t>Low Volatility / Low Beta Factor</w:t>
      </w:r>
      <w:r>
        <w:t xml:space="preserve"> </w:t>
      </w:r>
      <w:r w:rsidRPr="00557CA0">
        <w:t xml:space="preserve">by </w:t>
      </w:r>
      <w:proofErr w:type="spellStart"/>
      <w:r w:rsidRPr="00557CA0">
        <w:t>Frazzini</w:t>
      </w:r>
      <w:proofErr w:type="spellEnd"/>
      <w:r w:rsidRPr="00557CA0">
        <w:t>-Pedersen (2014)</w:t>
      </w:r>
    </w:p>
    <w:p w14:paraId="3B350CE6" w14:textId="279A2BC2" w:rsidR="00557CA0" w:rsidRDefault="00DE230D" w:rsidP="00796125">
      <w:pPr>
        <w:tabs>
          <w:tab w:val="left" w:pos="720"/>
        </w:tabs>
      </w:pPr>
      <w:r w:rsidRPr="00DE230D">
        <w:t xml:space="preserve">“Our evidence replicates the </w:t>
      </w:r>
      <w:proofErr w:type="spellStart"/>
      <w:r w:rsidRPr="00DE230D">
        <w:t>Frazzini</w:t>
      </w:r>
      <w:proofErr w:type="spellEnd"/>
      <w:r w:rsidRPr="00DE230D">
        <w:t>-Pedersen results that high beta stocks do not earn significantly higher average returns than low beta stocks.</w:t>
      </w:r>
      <w:r>
        <w:t xml:space="preserve">” </w:t>
      </w:r>
      <w:r w:rsidR="00557CA0">
        <w:t xml:space="preserve">In particular, the high-minus-low </w:t>
      </w:r>
      <w:proofErr w:type="spellStart"/>
      <w:r w:rsidR="00557CA0">
        <w:t>Frazzini</w:t>
      </w:r>
      <w:proofErr w:type="spellEnd"/>
      <w:r w:rsidR="00557CA0">
        <w:t xml:space="preserve">-Pedersen beta deciles earn around −0.2% per month at the 1-, 6-, and 12-month, and are all within one standard error </w:t>
      </w:r>
      <w:r w:rsidR="00557CA0">
        <w:lastRenderedPageBreak/>
        <w:t>from zero.</w:t>
      </w:r>
    </w:p>
    <w:p w14:paraId="1962298F" w14:textId="77777777" w:rsidR="00557CA0" w:rsidRPr="00DE230D" w:rsidRDefault="00557CA0" w:rsidP="00796125">
      <w:pPr>
        <w:tabs>
          <w:tab w:val="left" w:pos="720"/>
        </w:tabs>
        <w:ind w:left="360"/>
        <w:rPr>
          <w:color w:val="auto"/>
        </w:rPr>
      </w:pPr>
      <w:r>
        <w:t xml:space="preserve">β FP1= </w:t>
      </w:r>
      <w:r w:rsidRPr="007C63F3">
        <w:t>One Month Holding Period</w:t>
      </w:r>
      <w:r>
        <w:t xml:space="preserve"> -0.22% </w:t>
      </w:r>
      <w:r w:rsidRPr="00DE230D">
        <w:rPr>
          <w:color w:val="auto"/>
        </w:rPr>
        <w:t>monthly return with -0.65</w:t>
      </w:r>
      <w:r w:rsidRPr="00DE230D">
        <w:rPr>
          <w:b/>
          <w:bCs/>
          <w:color w:val="auto"/>
        </w:rPr>
        <w:t xml:space="preserve"> Not Significant</w:t>
      </w:r>
      <w:r w:rsidRPr="00DE230D">
        <w:rPr>
          <w:color w:val="auto"/>
        </w:rPr>
        <w:t xml:space="preserve"> t-statistic</w:t>
      </w:r>
    </w:p>
    <w:p w14:paraId="65E11602" w14:textId="71CABB1A" w:rsidR="00557CA0" w:rsidRPr="00DE230D" w:rsidRDefault="00557CA0" w:rsidP="00796125">
      <w:pPr>
        <w:tabs>
          <w:tab w:val="left" w:pos="720"/>
        </w:tabs>
        <w:ind w:left="360"/>
        <w:rPr>
          <w:color w:val="auto"/>
        </w:rPr>
      </w:pPr>
      <w:r w:rsidRPr="00DE230D">
        <w:rPr>
          <w:color w:val="auto"/>
        </w:rPr>
        <w:t xml:space="preserve">β FP6 = </w:t>
      </w:r>
      <w:r w:rsidR="009D30BA" w:rsidRPr="007C63F3">
        <w:t xml:space="preserve">Six </w:t>
      </w:r>
      <w:r w:rsidRPr="00DE230D">
        <w:rPr>
          <w:color w:val="auto"/>
        </w:rPr>
        <w:t>Month Holding Period -0.23 monthly return with -0.72</w:t>
      </w:r>
      <w:r w:rsidRPr="00DE230D">
        <w:rPr>
          <w:b/>
          <w:bCs/>
          <w:color w:val="auto"/>
        </w:rPr>
        <w:t xml:space="preserve"> Not Significant</w:t>
      </w:r>
      <w:r w:rsidRPr="00DE230D">
        <w:rPr>
          <w:color w:val="auto"/>
        </w:rPr>
        <w:t xml:space="preserve"> t-statistic</w:t>
      </w:r>
    </w:p>
    <w:p w14:paraId="06B7070C" w14:textId="2EF73D16" w:rsidR="00905495" w:rsidRDefault="00557CA0" w:rsidP="00796125">
      <w:pPr>
        <w:tabs>
          <w:tab w:val="left" w:pos="720"/>
        </w:tabs>
        <w:ind w:left="360"/>
        <w:rPr>
          <w:rFonts w:ascii="Cambria" w:hAnsi="Cambria"/>
          <w:b/>
          <w:color w:val="1F497D"/>
          <w:sz w:val="32"/>
        </w:rPr>
      </w:pPr>
      <w:r w:rsidRPr="00DE230D">
        <w:rPr>
          <w:color w:val="auto"/>
        </w:rPr>
        <w:t xml:space="preserve">β FP12 = </w:t>
      </w:r>
      <w:r w:rsidR="009D30BA" w:rsidRPr="007C63F3">
        <w:t xml:space="preserve">Twelve </w:t>
      </w:r>
      <w:r w:rsidRPr="00DE230D">
        <w:rPr>
          <w:color w:val="auto"/>
        </w:rPr>
        <w:t>Month Holding Period -0.18 monthly return with -0.57</w:t>
      </w:r>
      <w:r w:rsidRPr="00DE230D">
        <w:rPr>
          <w:b/>
          <w:bCs/>
          <w:color w:val="auto"/>
        </w:rPr>
        <w:t xml:space="preserve"> Not Significant</w:t>
      </w:r>
      <w:r w:rsidRPr="00DE230D">
        <w:rPr>
          <w:color w:val="auto"/>
        </w:rPr>
        <w:t xml:space="preserve"> t-statistic</w:t>
      </w:r>
      <w:r w:rsidR="00905495">
        <w:br w:type="page"/>
      </w:r>
    </w:p>
    <w:p w14:paraId="10423450" w14:textId="77777777" w:rsidR="00FA11C9" w:rsidRDefault="00FA11C9" w:rsidP="00FA11C9">
      <w:pPr>
        <w:pStyle w:val="Heading1"/>
        <w:numPr>
          <w:ilvl w:val="0"/>
          <w:numId w:val="23"/>
        </w:numPr>
        <w:tabs>
          <w:tab w:val="num" w:pos="0"/>
          <w:tab w:val="left" w:pos="720"/>
        </w:tabs>
        <w:spacing w:before="240"/>
        <w:ind w:left="0" w:hanging="540"/>
      </w:pPr>
      <w:r>
        <w:lastRenderedPageBreak/>
        <w:t>Results of Factor Investing:</w:t>
      </w:r>
    </w:p>
    <w:p w14:paraId="56DDAC11" w14:textId="77777777" w:rsidR="00FA11C9" w:rsidRDefault="00FA11C9" w:rsidP="00FA11C9">
      <w:pPr>
        <w:tabs>
          <w:tab w:val="left" w:pos="720"/>
        </w:tabs>
        <w:spacing w:before="60"/>
      </w:pPr>
      <w:r>
        <w:t xml:space="preserve">Below we will follow Chris Cain’s career beginning when he was a Quantitative Researcher at </w:t>
      </w:r>
      <w:r w:rsidRPr="004C6AA5">
        <w:t>Connors Research</w:t>
      </w:r>
      <w:r>
        <w:t xml:space="preserve"> and ending this year, after he joined Bloomberg Intelligence. In 2020, he won the CMT Associations Dow Award for the best research paper. From there he was hired by Bloomberg to develop their quant models on the Bloomberg Terminal. In December 2022, Bloomberg Intelligence research team published an improved model of Chris’ original work. Both the original and improved model use the four factors Value + Quality + Momentum + Low Volatility, skipping the size factor. </w:t>
      </w:r>
    </w:p>
    <w:p w14:paraId="111EDB33" w14:textId="77777777" w:rsidR="00FA11C9" w:rsidRPr="009C15C9" w:rsidRDefault="00FA11C9" w:rsidP="00FA11C9">
      <w:pPr>
        <w:pStyle w:val="Heading3"/>
        <w:keepNext/>
        <w:widowControl/>
        <w:tabs>
          <w:tab w:val="left" w:pos="720"/>
        </w:tabs>
        <w:spacing w:before="160"/>
      </w:pPr>
      <w:r w:rsidRPr="009C15C9">
        <w:t>Disclosure:</w:t>
      </w:r>
    </w:p>
    <w:p w14:paraId="67CBF0E4" w14:textId="77777777" w:rsidR="00FA11C9" w:rsidRPr="00FD2929" w:rsidRDefault="00FA11C9" w:rsidP="00FA11C9">
      <w:pPr>
        <w:widowControl/>
        <w:tabs>
          <w:tab w:val="left" w:pos="720"/>
        </w:tabs>
        <w:suppressAutoHyphens w:val="0"/>
        <w:spacing w:before="60"/>
      </w:pPr>
      <w:r w:rsidRPr="00332674">
        <w:t xml:space="preserve">The </w:t>
      </w:r>
      <w:r>
        <w:t xml:space="preserve">following </w:t>
      </w:r>
      <w:r w:rsidRPr="00332674">
        <w:t>results are hypothetical and are NOT an indicator of future results and do NOT represent returns that any investor actually attained. Indexes are unmanaged, do not reflect management or trading fees, and one cannot invest directly in an index.</w:t>
      </w:r>
    </w:p>
    <w:p w14:paraId="15E551F8" w14:textId="77777777" w:rsidR="00FA11C9" w:rsidRPr="009C15C9" w:rsidRDefault="00FA11C9" w:rsidP="00FA11C9">
      <w:pPr>
        <w:pStyle w:val="Heading3"/>
        <w:keepNext/>
        <w:widowControl/>
        <w:tabs>
          <w:tab w:val="left" w:pos="720"/>
        </w:tabs>
        <w:spacing w:before="160"/>
      </w:pPr>
      <w:r w:rsidRPr="009C15C9">
        <w:t>The CMT Association 2020 Dow Award Winning Paper</w:t>
      </w:r>
      <w:r>
        <w:t xml:space="preserve"> “Quantamental”</w:t>
      </w:r>
    </w:p>
    <w:p w14:paraId="1986433B" w14:textId="77777777" w:rsidR="00FA11C9" w:rsidRDefault="00FA11C9" w:rsidP="00FA11C9">
      <w:pPr>
        <w:widowControl/>
        <w:tabs>
          <w:tab w:val="left" w:pos="720"/>
        </w:tabs>
        <w:suppressAutoHyphens w:val="0"/>
        <w:spacing w:before="60"/>
      </w:pPr>
      <w:r>
        <w:t xml:space="preserve">Author: </w:t>
      </w:r>
      <w:r w:rsidRPr="00654056">
        <w:t>Christopher Cain, CMT</w:t>
      </w:r>
      <w:r>
        <w:t xml:space="preserve"> &amp; Others </w:t>
      </w:r>
      <w:r>
        <w:tab/>
        <w:t>Published 2020</w:t>
      </w:r>
    </w:p>
    <w:p w14:paraId="4ECDE162" w14:textId="77777777" w:rsidR="00FA11C9" w:rsidRDefault="00FA11C9" w:rsidP="00FA11C9">
      <w:pPr>
        <w:widowControl/>
        <w:tabs>
          <w:tab w:val="left" w:pos="720"/>
        </w:tabs>
        <w:suppressAutoHyphens w:val="0"/>
        <w:spacing w:before="60"/>
        <w:jc w:val="center"/>
      </w:pPr>
      <w:r w:rsidRPr="00EA229B">
        <w:rPr>
          <w:noProof/>
        </w:rPr>
        <w:drawing>
          <wp:inline distT="0" distB="0" distL="0" distR="0" wp14:anchorId="636D2FFC" wp14:editId="6ED6CC2F">
            <wp:extent cx="5134183" cy="326406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5272267" cy="3351847"/>
                    </a:xfrm>
                    <a:prstGeom prst="rect">
                      <a:avLst/>
                    </a:prstGeom>
                  </pic:spPr>
                </pic:pic>
              </a:graphicData>
            </a:graphic>
          </wp:inline>
        </w:drawing>
      </w:r>
    </w:p>
    <w:p w14:paraId="4B4C5A39" w14:textId="77777777" w:rsidR="00FA11C9" w:rsidRPr="0016616E" w:rsidRDefault="00FA11C9" w:rsidP="00FA11C9">
      <w:pPr>
        <w:pStyle w:val="Caption"/>
        <w:tabs>
          <w:tab w:val="left" w:pos="720"/>
        </w:tabs>
        <w:rPr>
          <w:sz w:val="20"/>
          <w:szCs w:val="20"/>
        </w:rPr>
      </w:pPr>
      <w:r w:rsidRPr="0016616E">
        <w:rPr>
          <w:sz w:val="20"/>
          <w:szCs w:val="20"/>
        </w:rPr>
        <w:t xml:space="preserve">Source: </w:t>
      </w:r>
      <w:hyperlink r:id="rId16" w:history="1">
        <w:r w:rsidRPr="0016616E">
          <w:rPr>
            <w:rStyle w:val="Hyperlink"/>
            <w:sz w:val="20"/>
            <w:szCs w:val="20"/>
          </w:rPr>
          <w:t>https://cmtassociation.org/wp-content/uploads/2020/03/Cain-and-Connors-2020-Dow-Award-1.pdf</w:t>
        </w:r>
      </w:hyperlink>
    </w:p>
    <w:p w14:paraId="4B2E0C95" w14:textId="77777777" w:rsidR="00FA11C9" w:rsidRPr="00BA507A" w:rsidRDefault="00FA11C9" w:rsidP="00FA11C9">
      <w:pPr>
        <w:widowControl/>
        <w:tabs>
          <w:tab w:val="left" w:pos="720"/>
        </w:tabs>
        <w:suppressAutoHyphens w:val="0"/>
        <w:spacing w:before="60"/>
        <w:rPr>
          <w:b/>
          <w:bCs/>
        </w:rPr>
      </w:pPr>
      <w:r>
        <w:rPr>
          <w:b/>
          <w:bCs/>
        </w:rPr>
        <w:t xml:space="preserve">Investment </w:t>
      </w:r>
      <w:r w:rsidRPr="00BA507A">
        <w:rPr>
          <w:b/>
          <w:bCs/>
        </w:rPr>
        <w:t>Data</w:t>
      </w:r>
    </w:p>
    <w:p w14:paraId="40A57BBB" w14:textId="77777777" w:rsidR="00FA11C9" w:rsidRDefault="00FA11C9" w:rsidP="00FA11C9">
      <w:pPr>
        <w:pStyle w:val="Quote"/>
        <w:tabs>
          <w:tab w:val="left" w:pos="720"/>
        </w:tabs>
        <w:spacing w:before="60" w:after="0"/>
        <w:ind w:left="360"/>
        <w:jc w:val="left"/>
      </w:pPr>
      <w:r>
        <w:t xml:space="preserve">All historical tests will cover the </w:t>
      </w:r>
      <w:r w:rsidRPr="00BA507A">
        <w:rPr>
          <w:b/>
          <w:bCs/>
        </w:rPr>
        <w:t>time period of January 2003 to September 2019</w:t>
      </w:r>
      <w:r>
        <w:t xml:space="preserve">. Data and analytics are provided by Quantopian.com. The universe for all tests run is </w:t>
      </w:r>
      <w:proofErr w:type="spellStart"/>
      <w:r>
        <w:t>Quantopian’s</w:t>
      </w:r>
      <w:proofErr w:type="spellEnd"/>
      <w:r>
        <w:t xml:space="preserve"> “Q500US” universe, which contains the 500 most liquid US stocks based on trailing 200-day average dollar volume. This universe is reconstituted each month, avoiding survivorship bias.</w:t>
      </w:r>
    </w:p>
    <w:p w14:paraId="27889957" w14:textId="77777777" w:rsidR="00FA11C9" w:rsidRDefault="00FA11C9" w:rsidP="00FA11C9">
      <w:pPr>
        <w:widowControl/>
        <w:tabs>
          <w:tab w:val="left" w:pos="720"/>
        </w:tabs>
        <w:suppressAutoHyphens w:val="0"/>
        <w:spacing w:before="60"/>
        <w:rPr>
          <w:b/>
          <w:bCs/>
        </w:rPr>
      </w:pPr>
      <w:r>
        <w:rPr>
          <w:b/>
          <w:bCs/>
        </w:rPr>
        <w:t>Rules</w:t>
      </w:r>
    </w:p>
    <w:p w14:paraId="3E6F615E" w14:textId="77777777" w:rsidR="00FA11C9" w:rsidRDefault="00FA11C9" w:rsidP="00FA11C9">
      <w:pPr>
        <w:pStyle w:val="ListParagraph"/>
        <w:numPr>
          <w:ilvl w:val="0"/>
          <w:numId w:val="17"/>
        </w:numPr>
        <w:tabs>
          <w:tab w:val="left" w:pos="720"/>
        </w:tabs>
        <w:spacing w:before="60"/>
      </w:pPr>
      <w:r>
        <w:t>Ra</w:t>
      </w:r>
      <w:r w:rsidRPr="00BA507A">
        <w:t>nk stocks 1-500, based on the quality, value and low volatility factors</w:t>
      </w:r>
      <w:r>
        <w:t>, and take the top 50.</w:t>
      </w:r>
    </w:p>
    <w:p w14:paraId="51F726EB" w14:textId="77777777" w:rsidR="00FA11C9" w:rsidRDefault="00FA11C9" w:rsidP="00FA11C9">
      <w:pPr>
        <w:pStyle w:val="ListParagraph"/>
        <w:numPr>
          <w:ilvl w:val="0"/>
          <w:numId w:val="17"/>
        </w:numPr>
        <w:tabs>
          <w:tab w:val="left" w:pos="720"/>
        </w:tabs>
        <w:spacing w:before="60"/>
      </w:pPr>
      <w:r>
        <w:t>Filter for the best 20 stocks based on momentum.</w:t>
      </w:r>
    </w:p>
    <w:p w14:paraId="119CE210" w14:textId="77777777" w:rsidR="00FA11C9" w:rsidRDefault="00FA11C9" w:rsidP="00FA11C9">
      <w:pPr>
        <w:pStyle w:val="ListParagraph"/>
        <w:numPr>
          <w:ilvl w:val="0"/>
          <w:numId w:val="17"/>
        </w:numPr>
        <w:tabs>
          <w:tab w:val="left" w:pos="720"/>
        </w:tabs>
        <w:spacing w:before="60"/>
      </w:pPr>
      <w:r>
        <w:t>Rebalance every month.</w:t>
      </w:r>
    </w:p>
    <w:p w14:paraId="4A992760" w14:textId="77777777" w:rsidR="00FA11C9" w:rsidRDefault="00FA11C9" w:rsidP="00FA11C9">
      <w:pPr>
        <w:widowControl/>
        <w:tabs>
          <w:tab w:val="left" w:pos="720"/>
        </w:tabs>
        <w:suppressAutoHyphens w:val="0"/>
        <w:spacing w:before="60"/>
        <w:rPr>
          <w:b/>
          <w:bCs/>
        </w:rPr>
      </w:pPr>
      <w:r w:rsidRPr="00BA507A">
        <w:rPr>
          <w:b/>
          <w:bCs/>
        </w:rPr>
        <w:lastRenderedPageBreak/>
        <w:t>Combining Two Factors: Value + Quality</w:t>
      </w:r>
    </w:p>
    <w:p w14:paraId="7088641D" w14:textId="77777777" w:rsidR="00FA11C9" w:rsidRDefault="00FA11C9" w:rsidP="00FA11C9">
      <w:pPr>
        <w:widowControl/>
        <w:tabs>
          <w:tab w:val="left" w:pos="720"/>
        </w:tabs>
        <w:suppressAutoHyphens w:val="0"/>
        <w:spacing w:before="60"/>
      </w:pPr>
      <w:r>
        <w:t>Value + Quality is the classic Warren Buffett portfolio; it shouldn’t be a great surprise to see outperformance.</w:t>
      </w:r>
    </w:p>
    <w:tbl>
      <w:tblPr>
        <w:tblW w:w="4927" w:type="dxa"/>
        <w:tblInd w:w="990" w:type="dxa"/>
        <w:tblLook w:val="04A0" w:firstRow="1" w:lastRow="0" w:firstColumn="1" w:lastColumn="0" w:noHBand="0" w:noVBand="1"/>
      </w:tblPr>
      <w:tblGrid>
        <w:gridCol w:w="2200"/>
        <w:gridCol w:w="1412"/>
        <w:gridCol w:w="1315"/>
      </w:tblGrid>
      <w:tr w:rsidR="00FA11C9" w:rsidRPr="009C15C9" w14:paraId="7A300E2B" w14:textId="77777777" w:rsidTr="00B75B0C">
        <w:trPr>
          <w:trHeight w:val="229"/>
        </w:trPr>
        <w:tc>
          <w:tcPr>
            <w:tcW w:w="2200" w:type="dxa"/>
            <w:tcBorders>
              <w:top w:val="nil"/>
              <w:left w:val="nil"/>
              <w:bottom w:val="nil"/>
              <w:right w:val="nil"/>
            </w:tcBorders>
            <w:shd w:val="clear" w:color="auto" w:fill="auto"/>
            <w:vAlign w:val="center"/>
            <w:hideMark/>
          </w:tcPr>
          <w:p w14:paraId="3B75AF5C" w14:textId="77777777" w:rsidR="00FA11C9" w:rsidRPr="009C15C9" w:rsidRDefault="00FA11C9" w:rsidP="00B75B0C">
            <w:pPr>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Jan 2003 – Sept 2019</w:t>
            </w:r>
          </w:p>
        </w:tc>
        <w:tc>
          <w:tcPr>
            <w:tcW w:w="1412" w:type="dxa"/>
            <w:tcBorders>
              <w:top w:val="single" w:sz="4" w:space="0" w:color="8EA9DB"/>
              <w:left w:val="nil"/>
              <w:bottom w:val="nil"/>
              <w:right w:val="nil"/>
            </w:tcBorders>
            <w:shd w:val="clear" w:color="auto" w:fill="004578"/>
            <w:vAlign w:val="center"/>
            <w:hideMark/>
          </w:tcPr>
          <w:p w14:paraId="2CD53BF5" w14:textId="77777777" w:rsidR="00FA11C9" w:rsidRPr="009C15C9" w:rsidRDefault="00FA11C9" w:rsidP="00B75B0C">
            <w:pPr>
              <w:keepLines/>
              <w:widowControl/>
              <w:tabs>
                <w:tab w:val="left" w:pos="720"/>
              </w:tabs>
              <w:suppressAutoHyphens w:val="0"/>
              <w:spacing w:before="0"/>
              <w:jc w:val="center"/>
              <w:rPr>
                <w:rFonts w:eastAsia="Times New Roman"/>
                <w:b/>
                <w:bCs/>
                <w:color w:val="FFFFFF"/>
                <w:lang w:val="en-US" w:eastAsia="en-US" w:bidi="ar-SA"/>
              </w:rPr>
            </w:pPr>
            <w:r w:rsidRPr="009C15C9">
              <w:rPr>
                <w:rFonts w:eastAsia="Times New Roman"/>
                <w:b/>
                <w:bCs/>
                <w:color w:val="FFFFFF"/>
                <w:lang w:val="en-US" w:eastAsia="en-US" w:bidi="ar-SA"/>
              </w:rPr>
              <w:t>S&amp;P 500</w:t>
            </w:r>
          </w:p>
        </w:tc>
        <w:tc>
          <w:tcPr>
            <w:tcW w:w="1315" w:type="dxa"/>
            <w:tcBorders>
              <w:top w:val="single" w:sz="4" w:space="0" w:color="8EA9DB"/>
              <w:left w:val="nil"/>
              <w:bottom w:val="nil"/>
              <w:right w:val="nil"/>
            </w:tcBorders>
            <w:shd w:val="clear" w:color="auto" w:fill="004578"/>
            <w:vAlign w:val="center"/>
            <w:hideMark/>
          </w:tcPr>
          <w:p w14:paraId="0B69F030" w14:textId="77777777" w:rsidR="00FA11C9" w:rsidRPr="009C15C9" w:rsidRDefault="00FA11C9" w:rsidP="00B75B0C">
            <w:pPr>
              <w:keepLines/>
              <w:widowControl/>
              <w:tabs>
                <w:tab w:val="left" w:pos="720"/>
              </w:tabs>
              <w:suppressAutoHyphens w:val="0"/>
              <w:spacing w:before="0"/>
              <w:jc w:val="center"/>
              <w:rPr>
                <w:rFonts w:eastAsia="Times New Roman"/>
                <w:b/>
                <w:bCs/>
                <w:color w:val="FFFFFF"/>
                <w:lang w:val="en-US" w:eastAsia="en-US" w:bidi="ar-SA"/>
              </w:rPr>
            </w:pPr>
            <w:r w:rsidRPr="009C15C9">
              <w:rPr>
                <w:rFonts w:eastAsia="Times New Roman"/>
                <w:b/>
                <w:bCs/>
                <w:color w:val="FFFFFF"/>
                <w:lang w:val="en-US" w:eastAsia="en-US" w:bidi="ar-SA"/>
              </w:rPr>
              <w:t>Value + Quality</w:t>
            </w:r>
          </w:p>
        </w:tc>
      </w:tr>
      <w:tr w:rsidR="00FA11C9" w:rsidRPr="009C15C9" w14:paraId="67B3D086" w14:textId="77777777" w:rsidTr="00B75B0C">
        <w:trPr>
          <w:trHeight w:val="229"/>
        </w:trPr>
        <w:tc>
          <w:tcPr>
            <w:tcW w:w="2200" w:type="dxa"/>
            <w:tcBorders>
              <w:top w:val="single" w:sz="4" w:space="0" w:color="8EA9DB"/>
              <w:left w:val="single" w:sz="4" w:space="0" w:color="8EA9DB"/>
              <w:bottom w:val="nil"/>
              <w:right w:val="nil"/>
            </w:tcBorders>
            <w:shd w:val="clear" w:color="auto" w:fill="auto"/>
            <w:noWrap/>
            <w:vAlign w:val="bottom"/>
            <w:hideMark/>
          </w:tcPr>
          <w:p w14:paraId="209C7252" w14:textId="77777777" w:rsidR="00FA11C9" w:rsidRPr="009C15C9" w:rsidRDefault="00FA11C9" w:rsidP="00B75B0C">
            <w:pPr>
              <w:keepLines/>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Annual Return</w:t>
            </w:r>
          </w:p>
        </w:tc>
        <w:tc>
          <w:tcPr>
            <w:tcW w:w="1412" w:type="dxa"/>
            <w:tcBorders>
              <w:top w:val="single" w:sz="4" w:space="0" w:color="8EA9DB"/>
              <w:left w:val="nil"/>
              <w:bottom w:val="nil"/>
              <w:right w:val="nil"/>
            </w:tcBorders>
            <w:shd w:val="clear" w:color="auto" w:fill="auto"/>
            <w:noWrap/>
            <w:vAlign w:val="center"/>
            <w:hideMark/>
          </w:tcPr>
          <w:p w14:paraId="2CDA8071" w14:textId="77777777" w:rsidR="00FA11C9" w:rsidRPr="009C15C9" w:rsidRDefault="00FA11C9" w:rsidP="00B75B0C">
            <w:pPr>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9.6%</w:t>
            </w:r>
          </w:p>
        </w:tc>
        <w:tc>
          <w:tcPr>
            <w:tcW w:w="1315" w:type="dxa"/>
            <w:tcBorders>
              <w:top w:val="single" w:sz="4" w:space="0" w:color="8EA9DB"/>
              <w:left w:val="nil"/>
              <w:bottom w:val="nil"/>
              <w:right w:val="single" w:sz="4" w:space="0" w:color="8EA9DB"/>
            </w:tcBorders>
            <w:shd w:val="clear" w:color="auto" w:fill="auto"/>
            <w:noWrap/>
            <w:vAlign w:val="center"/>
            <w:hideMark/>
          </w:tcPr>
          <w:p w14:paraId="557E41EC" w14:textId="77777777" w:rsidR="00FA11C9" w:rsidRPr="009C15C9" w:rsidRDefault="00FA11C9" w:rsidP="00B75B0C">
            <w:pPr>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11.3%</w:t>
            </w:r>
          </w:p>
        </w:tc>
      </w:tr>
      <w:tr w:rsidR="00FA11C9" w:rsidRPr="009C15C9" w14:paraId="62A171A7" w14:textId="77777777" w:rsidTr="00B75B0C">
        <w:trPr>
          <w:trHeight w:val="229"/>
        </w:trPr>
        <w:tc>
          <w:tcPr>
            <w:tcW w:w="2200" w:type="dxa"/>
            <w:tcBorders>
              <w:top w:val="single" w:sz="4" w:space="0" w:color="8EA9DB"/>
              <w:left w:val="single" w:sz="4" w:space="0" w:color="8EA9DB"/>
              <w:bottom w:val="nil"/>
              <w:right w:val="nil"/>
            </w:tcBorders>
            <w:shd w:val="clear" w:color="auto" w:fill="auto"/>
            <w:noWrap/>
            <w:vAlign w:val="bottom"/>
            <w:hideMark/>
          </w:tcPr>
          <w:p w14:paraId="7853A40E" w14:textId="77777777" w:rsidR="00FA11C9" w:rsidRPr="009C15C9" w:rsidRDefault="00FA11C9" w:rsidP="00B75B0C">
            <w:pPr>
              <w:keepLines/>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Cumulative Returns</w:t>
            </w:r>
          </w:p>
        </w:tc>
        <w:tc>
          <w:tcPr>
            <w:tcW w:w="1412" w:type="dxa"/>
            <w:tcBorders>
              <w:top w:val="single" w:sz="4" w:space="0" w:color="8EA9DB"/>
              <w:left w:val="nil"/>
              <w:bottom w:val="nil"/>
              <w:right w:val="nil"/>
            </w:tcBorders>
            <w:shd w:val="clear" w:color="auto" w:fill="auto"/>
            <w:noWrap/>
            <w:vAlign w:val="center"/>
            <w:hideMark/>
          </w:tcPr>
          <w:p w14:paraId="3BC9A532" w14:textId="77777777" w:rsidR="00FA11C9" w:rsidRPr="009C15C9" w:rsidRDefault="00FA11C9" w:rsidP="00B75B0C">
            <w:pPr>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365.4%</w:t>
            </w:r>
          </w:p>
        </w:tc>
        <w:tc>
          <w:tcPr>
            <w:tcW w:w="1315" w:type="dxa"/>
            <w:tcBorders>
              <w:top w:val="single" w:sz="4" w:space="0" w:color="8EA9DB"/>
              <w:left w:val="nil"/>
              <w:bottom w:val="nil"/>
              <w:right w:val="single" w:sz="4" w:space="0" w:color="8EA9DB"/>
            </w:tcBorders>
            <w:shd w:val="clear" w:color="auto" w:fill="auto"/>
            <w:noWrap/>
            <w:vAlign w:val="center"/>
            <w:hideMark/>
          </w:tcPr>
          <w:p w14:paraId="41D34F99" w14:textId="77777777" w:rsidR="00FA11C9" w:rsidRPr="009C15C9" w:rsidRDefault="00FA11C9" w:rsidP="00B75B0C">
            <w:pPr>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498.8%</w:t>
            </w:r>
          </w:p>
        </w:tc>
      </w:tr>
      <w:tr w:rsidR="00FA11C9" w:rsidRPr="009C15C9" w14:paraId="3A6846B3" w14:textId="77777777" w:rsidTr="00B75B0C">
        <w:trPr>
          <w:trHeight w:val="229"/>
        </w:trPr>
        <w:tc>
          <w:tcPr>
            <w:tcW w:w="2200" w:type="dxa"/>
            <w:tcBorders>
              <w:top w:val="single" w:sz="4" w:space="0" w:color="8EA9DB"/>
              <w:left w:val="single" w:sz="4" w:space="0" w:color="8EA9DB"/>
              <w:bottom w:val="nil"/>
              <w:right w:val="nil"/>
            </w:tcBorders>
            <w:shd w:val="clear" w:color="auto" w:fill="auto"/>
            <w:noWrap/>
            <w:vAlign w:val="bottom"/>
            <w:hideMark/>
          </w:tcPr>
          <w:p w14:paraId="66920209" w14:textId="77777777" w:rsidR="00FA11C9" w:rsidRPr="009C15C9" w:rsidRDefault="00FA11C9" w:rsidP="00B75B0C">
            <w:pPr>
              <w:keepLines/>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Annual Volatility</w:t>
            </w:r>
          </w:p>
        </w:tc>
        <w:tc>
          <w:tcPr>
            <w:tcW w:w="1412" w:type="dxa"/>
            <w:tcBorders>
              <w:top w:val="single" w:sz="4" w:space="0" w:color="8EA9DB"/>
              <w:left w:val="nil"/>
              <w:bottom w:val="nil"/>
              <w:right w:val="nil"/>
            </w:tcBorders>
            <w:shd w:val="clear" w:color="auto" w:fill="auto"/>
            <w:noWrap/>
            <w:vAlign w:val="center"/>
            <w:hideMark/>
          </w:tcPr>
          <w:p w14:paraId="0A650277" w14:textId="77777777" w:rsidR="00FA11C9" w:rsidRPr="009C15C9" w:rsidRDefault="00FA11C9" w:rsidP="00B75B0C">
            <w:pPr>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17.8%</w:t>
            </w:r>
          </w:p>
        </w:tc>
        <w:tc>
          <w:tcPr>
            <w:tcW w:w="1315" w:type="dxa"/>
            <w:tcBorders>
              <w:top w:val="single" w:sz="4" w:space="0" w:color="8EA9DB"/>
              <w:left w:val="nil"/>
              <w:bottom w:val="nil"/>
              <w:right w:val="single" w:sz="4" w:space="0" w:color="8EA9DB"/>
            </w:tcBorders>
            <w:shd w:val="clear" w:color="auto" w:fill="auto"/>
            <w:noWrap/>
            <w:vAlign w:val="center"/>
            <w:hideMark/>
          </w:tcPr>
          <w:p w14:paraId="601C57FC" w14:textId="77777777" w:rsidR="00FA11C9" w:rsidRPr="009C15C9" w:rsidRDefault="00FA11C9" w:rsidP="00B75B0C">
            <w:pPr>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21.9%</w:t>
            </w:r>
          </w:p>
        </w:tc>
      </w:tr>
      <w:tr w:rsidR="00FA11C9" w:rsidRPr="009C15C9" w14:paraId="35FADC00" w14:textId="77777777" w:rsidTr="00B75B0C">
        <w:trPr>
          <w:trHeight w:val="229"/>
        </w:trPr>
        <w:tc>
          <w:tcPr>
            <w:tcW w:w="2200" w:type="dxa"/>
            <w:tcBorders>
              <w:top w:val="single" w:sz="4" w:space="0" w:color="8EA9DB"/>
              <w:left w:val="single" w:sz="4" w:space="0" w:color="8EA9DB"/>
              <w:bottom w:val="nil"/>
              <w:right w:val="nil"/>
            </w:tcBorders>
            <w:shd w:val="clear" w:color="auto" w:fill="auto"/>
            <w:noWrap/>
            <w:vAlign w:val="bottom"/>
            <w:hideMark/>
          </w:tcPr>
          <w:p w14:paraId="4D6D06EF" w14:textId="77777777" w:rsidR="00FA11C9" w:rsidRPr="009C15C9" w:rsidRDefault="00FA11C9" w:rsidP="00B75B0C">
            <w:pPr>
              <w:keepLines/>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Sharpe Ratio</w:t>
            </w:r>
          </w:p>
        </w:tc>
        <w:tc>
          <w:tcPr>
            <w:tcW w:w="1412" w:type="dxa"/>
            <w:tcBorders>
              <w:top w:val="single" w:sz="4" w:space="0" w:color="8EA9DB"/>
              <w:left w:val="nil"/>
              <w:bottom w:val="nil"/>
              <w:right w:val="nil"/>
            </w:tcBorders>
            <w:shd w:val="clear" w:color="auto" w:fill="auto"/>
            <w:noWrap/>
            <w:vAlign w:val="center"/>
            <w:hideMark/>
          </w:tcPr>
          <w:p w14:paraId="6AAFEAB8" w14:textId="77777777" w:rsidR="00FA11C9" w:rsidRPr="009C15C9" w:rsidRDefault="00FA11C9" w:rsidP="00B75B0C">
            <w:pPr>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0.61</w:t>
            </w:r>
          </w:p>
        </w:tc>
        <w:tc>
          <w:tcPr>
            <w:tcW w:w="1315" w:type="dxa"/>
            <w:tcBorders>
              <w:top w:val="single" w:sz="4" w:space="0" w:color="8EA9DB"/>
              <w:left w:val="nil"/>
              <w:bottom w:val="nil"/>
              <w:right w:val="single" w:sz="4" w:space="0" w:color="8EA9DB"/>
            </w:tcBorders>
            <w:shd w:val="clear" w:color="auto" w:fill="auto"/>
            <w:noWrap/>
            <w:vAlign w:val="center"/>
            <w:hideMark/>
          </w:tcPr>
          <w:p w14:paraId="79CC8442" w14:textId="77777777" w:rsidR="00FA11C9" w:rsidRPr="009C15C9" w:rsidRDefault="00FA11C9" w:rsidP="00B75B0C">
            <w:pPr>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0.60</w:t>
            </w:r>
          </w:p>
        </w:tc>
      </w:tr>
      <w:tr w:rsidR="00FA11C9" w:rsidRPr="009C15C9" w14:paraId="64829637" w14:textId="77777777" w:rsidTr="00B75B0C">
        <w:trPr>
          <w:trHeight w:val="229"/>
        </w:trPr>
        <w:tc>
          <w:tcPr>
            <w:tcW w:w="2200" w:type="dxa"/>
            <w:tcBorders>
              <w:top w:val="single" w:sz="4" w:space="0" w:color="8EA9DB"/>
              <w:left w:val="single" w:sz="4" w:space="0" w:color="8EA9DB"/>
              <w:bottom w:val="single" w:sz="4" w:space="0" w:color="8EA9DB"/>
              <w:right w:val="nil"/>
            </w:tcBorders>
            <w:shd w:val="clear" w:color="auto" w:fill="auto"/>
            <w:noWrap/>
            <w:vAlign w:val="bottom"/>
            <w:hideMark/>
          </w:tcPr>
          <w:p w14:paraId="73D6C7EF" w14:textId="77777777" w:rsidR="00FA11C9" w:rsidRPr="009C15C9" w:rsidRDefault="00FA11C9" w:rsidP="00B75B0C">
            <w:pPr>
              <w:keepLines/>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Max Drawdown</w:t>
            </w:r>
          </w:p>
        </w:tc>
        <w:tc>
          <w:tcPr>
            <w:tcW w:w="1412" w:type="dxa"/>
            <w:tcBorders>
              <w:top w:val="single" w:sz="4" w:space="0" w:color="8EA9DB"/>
              <w:left w:val="nil"/>
              <w:bottom w:val="single" w:sz="4" w:space="0" w:color="8EA9DB"/>
              <w:right w:val="nil"/>
            </w:tcBorders>
            <w:shd w:val="clear" w:color="auto" w:fill="auto"/>
            <w:noWrap/>
            <w:vAlign w:val="center"/>
            <w:hideMark/>
          </w:tcPr>
          <w:p w14:paraId="11C11729" w14:textId="77777777" w:rsidR="00FA11C9" w:rsidRPr="009C15C9" w:rsidRDefault="00FA11C9" w:rsidP="00B75B0C">
            <w:pPr>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-55.2%</w:t>
            </w:r>
          </w:p>
        </w:tc>
        <w:tc>
          <w:tcPr>
            <w:tcW w:w="1315" w:type="dxa"/>
            <w:tcBorders>
              <w:top w:val="single" w:sz="4" w:space="0" w:color="8EA9DB"/>
              <w:left w:val="nil"/>
              <w:bottom w:val="single" w:sz="4" w:space="0" w:color="8EA9DB"/>
              <w:right w:val="single" w:sz="4" w:space="0" w:color="8EA9DB"/>
            </w:tcBorders>
            <w:shd w:val="clear" w:color="auto" w:fill="auto"/>
            <w:noWrap/>
            <w:vAlign w:val="center"/>
            <w:hideMark/>
          </w:tcPr>
          <w:p w14:paraId="37A232C6" w14:textId="77777777" w:rsidR="00FA11C9" w:rsidRPr="009C15C9" w:rsidRDefault="00FA11C9" w:rsidP="00B75B0C">
            <w:pPr>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-64.6%</w:t>
            </w:r>
          </w:p>
        </w:tc>
      </w:tr>
    </w:tbl>
    <w:p w14:paraId="00C9B658" w14:textId="77777777" w:rsidR="00FA11C9" w:rsidRDefault="00FA11C9" w:rsidP="00FA11C9">
      <w:pPr>
        <w:widowControl/>
        <w:tabs>
          <w:tab w:val="left" w:pos="720"/>
        </w:tabs>
        <w:suppressAutoHyphens w:val="0"/>
        <w:spacing w:before="0"/>
        <w:rPr>
          <w:b/>
          <w:bCs/>
        </w:rPr>
      </w:pPr>
    </w:p>
    <w:p w14:paraId="5564F2D5" w14:textId="77777777" w:rsidR="00FA11C9" w:rsidRDefault="00FA11C9" w:rsidP="00FA11C9">
      <w:pPr>
        <w:widowControl/>
        <w:tabs>
          <w:tab w:val="left" w:pos="720"/>
        </w:tabs>
        <w:suppressAutoHyphens w:val="0"/>
        <w:spacing w:before="60"/>
        <w:rPr>
          <w:b/>
          <w:bCs/>
        </w:rPr>
      </w:pPr>
      <w:r w:rsidRPr="00BA507A">
        <w:rPr>
          <w:b/>
          <w:bCs/>
        </w:rPr>
        <w:t>Combining Three Factors: Value + Quality + Low Volatility</w:t>
      </w:r>
    </w:p>
    <w:p w14:paraId="1CC4BD4F" w14:textId="77777777" w:rsidR="00FA11C9" w:rsidRDefault="00FA11C9" w:rsidP="00FA11C9">
      <w:pPr>
        <w:widowControl/>
        <w:tabs>
          <w:tab w:val="left" w:pos="720"/>
        </w:tabs>
        <w:suppressAutoHyphens w:val="0"/>
        <w:spacing w:before="60"/>
      </w:pPr>
      <w:r>
        <w:t>Adding a screening factor for Low Volatility stocks does not materially increase returns but does materially reduces the drawdown vs. the 2 Factor Model.</w:t>
      </w:r>
    </w:p>
    <w:p w14:paraId="429F3C2B" w14:textId="77777777" w:rsidR="00FA11C9" w:rsidRPr="00EA229B" w:rsidRDefault="00FA11C9" w:rsidP="00FA11C9">
      <w:pPr>
        <w:widowControl/>
        <w:tabs>
          <w:tab w:val="left" w:pos="720"/>
        </w:tabs>
        <w:suppressAutoHyphens w:val="0"/>
        <w:spacing w:before="60"/>
      </w:pPr>
    </w:p>
    <w:tbl>
      <w:tblPr>
        <w:tblW w:w="6390" w:type="dxa"/>
        <w:tblInd w:w="990" w:type="dxa"/>
        <w:tblLook w:val="04A0" w:firstRow="1" w:lastRow="0" w:firstColumn="1" w:lastColumn="0" w:noHBand="0" w:noVBand="1"/>
      </w:tblPr>
      <w:tblGrid>
        <w:gridCol w:w="2172"/>
        <w:gridCol w:w="1068"/>
        <w:gridCol w:w="1281"/>
        <w:gridCol w:w="1869"/>
      </w:tblGrid>
      <w:tr w:rsidR="00FA11C9" w:rsidRPr="009C15C9" w14:paraId="08220834" w14:textId="77777777" w:rsidTr="00B75B0C">
        <w:trPr>
          <w:cantSplit/>
          <w:trHeight w:val="577"/>
        </w:trPr>
        <w:tc>
          <w:tcPr>
            <w:tcW w:w="2172" w:type="dxa"/>
            <w:tcBorders>
              <w:top w:val="nil"/>
              <w:left w:val="nil"/>
              <w:bottom w:val="nil"/>
              <w:right w:val="nil"/>
            </w:tcBorders>
            <w:shd w:val="clear" w:color="auto" w:fill="auto"/>
            <w:vAlign w:val="center"/>
            <w:hideMark/>
          </w:tcPr>
          <w:p w14:paraId="71D4077F" w14:textId="77777777" w:rsidR="00FA11C9" w:rsidRPr="009C15C9" w:rsidRDefault="00FA11C9" w:rsidP="00B75B0C">
            <w:pPr>
              <w:keepNext/>
              <w:keepLines/>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Jan 2003 – Sept 2019</w:t>
            </w:r>
          </w:p>
        </w:tc>
        <w:tc>
          <w:tcPr>
            <w:tcW w:w="1068" w:type="dxa"/>
            <w:tcBorders>
              <w:top w:val="single" w:sz="4" w:space="0" w:color="8EA9DB"/>
              <w:left w:val="nil"/>
              <w:bottom w:val="nil"/>
              <w:right w:val="nil"/>
            </w:tcBorders>
            <w:shd w:val="clear" w:color="auto" w:fill="004578"/>
            <w:vAlign w:val="center"/>
            <w:hideMark/>
          </w:tcPr>
          <w:p w14:paraId="6E309715" w14:textId="77777777" w:rsidR="00FA11C9" w:rsidRPr="009C15C9" w:rsidRDefault="00FA11C9" w:rsidP="00B75B0C">
            <w:pPr>
              <w:keepNext/>
              <w:keepLines/>
              <w:widowControl/>
              <w:tabs>
                <w:tab w:val="left" w:pos="720"/>
              </w:tabs>
              <w:suppressAutoHyphens w:val="0"/>
              <w:spacing w:before="0"/>
              <w:jc w:val="center"/>
              <w:rPr>
                <w:rFonts w:eastAsia="Times New Roman"/>
                <w:b/>
                <w:bCs/>
                <w:color w:val="FFFFFF"/>
                <w:lang w:val="en-US" w:eastAsia="en-US" w:bidi="ar-SA"/>
              </w:rPr>
            </w:pPr>
            <w:r w:rsidRPr="009C15C9">
              <w:rPr>
                <w:rFonts w:eastAsia="Times New Roman"/>
                <w:b/>
                <w:bCs/>
                <w:color w:val="FFFFFF"/>
                <w:lang w:val="en-US" w:eastAsia="en-US" w:bidi="ar-SA"/>
              </w:rPr>
              <w:t xml:space="preserve">S&amp;P 500 </w:t>
            </w:r>
          </w:p>
        </w:tc>
        <w:tc>
          <w:tcPr>
            <w:tcW w:w="1281" w:type="dxa"/>
            <w:tcBorders>
              <w:top w:val="single" w:sz="4" w:space="0" w:color="8EA9DB"/>
              <w:left w:val="nil"/>
              <w:bottom w:val="nil"/>
              <w:right w:val="nil"/>
            </w:tcBorders>
            <w:shd w:val="clear" w:color="auto" w:fill="004578"/>
            <w:vAlign w:val="center"/>
            <w:hideMark/>
          </w:tcPr>
          <w:p w14:paraId="5920FBE2" w14:textId="77777777" w:rsidR="00FA11C9" w:rsidRPr="009C15C9" w:rsidRDefault="00FA11C9" w:rsidP="00B75B0C">
            <w:pPr>
              <w:keepNext/>
              <w:keepLines/>
              <w:widowControl/>
              <w:tabs>
                <w:tab w:val="left" w:pos="720"/>
              </w:tabs>
              <w:suppressAutoHyphens w:val="0"/>
              <w:spacing w:before="0"/>
              <w:jc w:val="center"/>
              <w:rPr>
                <w:rFonts w:eastAsia="Times New Roman"/>
                <w:b/>
                <w:bCs/>
                <w:color w:val="FFFFFF"/>
                <w:lang w:val="en-US" w:eastAsia="en-US" w:bidi="ar-SA"/>
              </w:rPr>
            </w:pPr>
            <w:r w:rsidRPr="009C15C9">
              <w:rPr>
                <w:rFonts w:eastAsia="Times New Roman"/>
                <w:b/>
                <w:bCs/>
                <w:color w:val="FFFFFF"/>
                <w:lang w:val="en-US" w:eastAsia="en-US" w:bidi="ar-SA"/>
              </w:rPr>
              <w:t>Value + Quality</w:t>
            </w:r>
          </w:p>
        </w:tc>
        <w:tc>
          <w:tcPr>
            <w:tcW w:w="1869" w:type="dxa"/>
            <w:tcBorders>
              <w:top w:val="single" w:sz="4" w:space="0" w:color="8EA9DB"/>
              <w:left w:val="nil"/>
              <w:bottom w:val="nil"/>
              <w:right w:val="single" w:sz="4" w:space="0" w:color="8EA9DB"/>
            </w:tcBorders>
            <w:shd w:val="clear" w:color="auto" w:fill="004578"/>
            <w:vAlign w:val="center"/>
            <w:hideMark/>
          </w:tcPr>
          <w:p w14:paraId="616C05A9" w14:textId="77777777" w:rsidR="00FA11C9" w:rsidRPr="009C15C9" w:rsidRDefault="00FA11C9" w:rsidP="00B75B0C">
            <w:pPr>
              <w:keepNext/>
              <w:keepLines/>
              <w:widowControl/>
              <w:tabs>
                <w:tab w:val="left" w:pos="720"/>
              </w:tabs>
              <w:suppressAutoHyphens w:val="0"/>
              <w:spacing w:before="0"/>
              <w:jc w:val="center"/>
              <w:rPr>
                <w:rFonts w:eastAsia="Times New Roman"/>
                <w:b/>
                <w:bCs/>
                <w:color w:val="FFFFFF"/>
                <w:lang w:val="en-US" w:eastAsia="en-US" w:bidi="ar-SA"/>
              </w:rPr>
            </w:pPr>
            <w:r w:rsidRPr="009C15C9">
              <w:rPr>
                <w:rFonts w:eastAsia="Times New Roman"/>
                <w:b/>
                <w:bCs/>
                <w:color w:val="FFFFFF"/>
                <w:lang w:val="en-US" w:eastAsia="en-US" w:bidi="ar-SA"/>
              </w:rPr>
              <w:t>Value + Quality + Low Volatility</w:t>
            </w:r>
          </w:p>
        </w:tc>
      </w:tr>
      <w:tr w:rsidR="00FA11C9" w:rsidRPr="009C15C9" w14:paraId="017404FC" w14:textId="77777777" w:rsidTr="00B75B0C">
        <w:trPr>
          <w:cantSplit/>
          <w:trHeight w:val="288"/>
        </w:trPr>
        <w:tc>
          <w:tcPr>
            <w:tcW w:w="2172" w:type="dxa"/>
            <w:tcBorders>
              <w:top w:val="single" w:sz="4" w:space="0" w:color="8EA9DB"/>
              <w:left w:val="single" w:sz="4" w:space="0" w:color="8EA9DB"/>
              <w:bottom w:val="nil"/>
              <w:right w:val="nil"/>
            </w:tcBorders>
            <w:shd w:val="clear" w:color="auto" w:fill="auto"/>
            <w:noWrap/>
            <w:vAlign w:val="bottom"/>
            <w:hideMark/>
          </w:tcPr>
          <w:p w14:paraId="1CA16445" w14:textId="77777777" w:rsidR="00FA11C9" w:rsidRPr="009C15C9" w:rsidRDefault="00FA11C9" w:rsidP="00B75B0C">
            <w:pPr>
              <w:keepNext/>
              <w:keepLines/>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Annual Return</w:t>
            </w:r>
          </w:p>
        </w:tc>
        <w:tc>
          <w:tcPr>
            <w:tcW w:w="1068" w:type="dxa"/>
            <w:tcBorders>
              <w:top w:val="single" w:sz="4" w:space="0" w:color="8EA9DB"/>
              <w:left w:val="nil"/>
              <w:bottom w:val="nil"/>
              <w:right w:val="nil"/>
            </w:tcBorders>
            <w:shd w:val="clear" w:color="auto" w:fill="auto"/>
            <w:noWrap/>
            <w:vAlign w:val="center"/>
            <w:hideMark/>
          </w:tcPr>
          <w:p w14:paraId="76907970"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9.6%</w:t>
            </w:r>
          </w:p>
        </w:tc>
        <w:tc>
          <w:tcPr>
            <w:tcW w:w="1281" w:type="dxa"/>
            <w:tcBorders>
              <w:top w:val="single" w:sz="4" w:space="0" w:color="8EA9DB"/>
              <w:left w:val="nil"/>
              <w:bottom w:val="nil"/>
              <w:right w:val="nil"/>
            </w:tcBorders>
            <w:shd w:val="clear" w:color="auto" w:fill="auto"/>
            <w:noWrap/>
            <w:vAlign w:val="center"/>
            <w:hideMark/>
          </w:tcPr>
          <w:p w14:paraId="1F8FBDBE"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11.3%</w:t>
            </w:r>
          </w:p>
        </w:tc>
        <w:tc>
          <w:tcPr>
            <w:tcW w:w="1869" w:type="dxa"/>
            <w:tcBorders>
              <w:top w:val="single" w:sz="4" w:space="0" w:color="8EA9DB"/>
              <w:left w:val="nil"/>
              <w:bottom w:val="nil"/>
              <w:right w:val="single" w:sz="4" w:space="0" w:color="8EA9DB"/>
            </w:tcBorders>
            <w:shd w:val="clear" w:color="auto" w:fill="auto"/>
            <w:noWrap/>
            <w:vAlign w:val="center"/>
            <w:hideMark/>
          </w:tcPr>
          <w:p w14:paraId="686EE5D5"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11.9%</w:t>
            </w:r>
          </w:p>
        </w:tc>
      </w:tr>
      <w:tr w:rsidR="00FA11C9" w:rsidRPr="009C15C9" w14:paraId="0F5ECCB1" w14:textId="77777777" w:rsidTr="00B75B0C">
        <w:trPr>
          <w:cantSplit/>
          <w:trHeight w:val="288"/>
        </w:trPr>
        <w:tc>
          <w:tcPr>
            <w:tcW w:w="2172" w:type="dxa"/>
            <w:tcBorders>
              <w:top w:val="single" w:sz="4" w:space="0" w:color="8EA9DB"/>
              <w:left w:val="single" w:sz="4" w:space="0" w:color="8EA9DB"/>
              <w:bottom w:val="nil"/>
              <w:right w:val="nil"/>
            </w:tcBorders>
            <w:shd w:val="clear" w:color="auto" w:fill="auto"/>
            <w:noWrap/>
            <w:vAlign w:val="bottom"/>
            <w:hideMark/>
          </w:tcPr>
          <w:p w14:paraId="5AEFDA89" w14:textId="77777777" w:rsidR="00FA11C9" w:rsidRPr="009C15C9" w:rsidRDefault="00FA11C9" w:rsidP="00B75B0C">
            <w:pPr>
              <w:keepNext/>
              <w:keepLines/>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Cumulative Returns</w:t>
            </w:r>
          </w:p>
        </w:tc>
        <w:tc>
          <w:tcPr>
            <w:tcW w:w="1068" w:type="dxa"/>
            <w:tcBorders>
              <w:top w:val="single" w:sz="4" w:space="0" w:color="8EA9DB"/>
              <w:left w:val="nil"/>
              <w:bottom w:val="nil"/>
              <w:right w:val="nil"/>
            </w:tcBorders>
            <w:shd w:val="clear" w:color="auto" w:fill="auto"/>
            <w:noWrap/>
            <w:vAlign w:val="center"/>
            <w:hideMark/>
          </w:tcPr>
          <w:p w14:paraId="3E9FB34E"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365.4%</w:t>
            </w:r>
          </w:p>
        </w:tc>
        <w:tc>
          <w:tcPr>
            <w:tcW w:w="1281" w:type="dxa"/>
            <w:tcBorders>
              <w:top w:val="single" w:sz="4" w:space="0" w:color="8EA9DB"/>
              <w:left w:val="nil"/>
              <w:bottom w:val="nil"/>
              <w:right w:val="nil"/>
            </w:tcBorders>
            <w:shd w:val="clear" w:color="auto" w:fill="auto"/>
            <w:noWrap/>
            <w:vAlign w:val="center"/>
            <w:hideMark/>
          </w:tcPr>
          <w:p w14:paraId="0FAE8E1B"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498.8%</w:t>
            </w:r>
          </w:p>
        </w:tc>
        <w:tc>
          <w:tcPr>
            <w:tcW w:w="1869" w:type="dxa"/>
            <w:tcBorders>
              <w:top w:val="single" w:sz="4" w:space="0" w:color="8EA9DB"/>
              <w:left w:val="nil"/>
              <w:bottom w:val="nil"/>
              <w:right w:val="single" w:sz="4" w:space="0" w:color="8EA9DB"/>
            </w:tcBorders>
            <w:shd w:val="clear" w:color="auto" w:fill="auto"/>
            <w:noWrap/>
            <w:vAlign w:val="center"/>
            <w:hideMark/>
          </w:tcPr>
          <w:p w14:paraId="368E6253"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557.5%</w:t>
            </w:r>
          </w:p>
        </w:tc>
      </w:tr>
      <w:tr w:rsidR="00FA11C9" w:rsidRPr="009C15C9" w14:paraId="480C4740" w14:textId="77777777" w:rsidTr="00B75B0C">
        <w:trPr>
          <w:cantSplit/>
          <w:trHeight w:val="288"/>
        </w:trPr>
        <w:tc>
          <w:tcPr>
            <w:tcW w:w="2172" w:type="dxa"/>
            <w:tcBorders>
              <w:top w:val="single" w:sz="4" w:space="0" w:color="8EA9DB"/>
              <w:left w:val="single" w:sz="4" w:space="0" w:color="8EA9DB"/>
              <w:bottom w:val="nil"/>
              <w:right w:val="nil"/>
            </w:tcBorders>
            <w:shd w:val="clear" w:color="auto" w:fill="auto"/>
            <w:noWrap/>
            <w:vAlign w:val="bottom"/>
            <w:hideMark/>
          </w:tcPr>
          <w:p w14:paraId="42DF612A" w14:textId="77777777" w:rsidR="00FA11C9" w:rsidRPr="009C15C9" w:rsidRDefault="00FA11C9" w:rsidP="00B75B0C">
            <w:pPr>
              <w:keepNext/>
              <w:keepLines/>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Annual Volatility</w:t>
            </w:r>
          </w:p>
        </w:tc>
        <w:tc>
          <w:tcPr>
            <w:tcW w:w="1068" w:type="dxa"/>
            <w:tcBorders>
              <w:top w:val="single" w:sz="4" w:space="0" w:color="8EA9DB"/>
              <w:left w:val="nil"/>
              <w:bottom w:val="nil"/>
              <w:right w:val="nil"/>
            </w:tcBorders>
            <w:shd w:val="clear" w:color="auto" w:fill="auto"/>
            <w:noWrap/>
            <w:vAlign w:val="center"/>
            <w:hideMark/>
          </w:tcPr>
          <w:p w14:paraId="0E9F7150"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17.8%</w:t>
            </w:r>
          </w:p>
        </w:tc>
        <w:tc>
          <w:tcPr>
            <w:tcW w:w="1281" w:type="dxa"/>
            <w:tcBorders>
              <w:top w:val="single" w:sz="4" w:space="0" w:color="8EA9DB"/>
              <w:left w:val="nil"/>
              <w:bottom w:val="nil"/>
              <w:right w:val="nil"/>
            </w:tcBorders>
            <w:shd w:val="clear" w:color="auto" w:fill="auto"/>
            <w:noWrap/>
            <w:vAlign w:val="center"/>
            <w:hideMark/>
          </w:tcPr>
          <w:p w14:paraId="15CAB081"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21.9%</w:t>
            </w:r>
          </w:p>
        </w:tc>
        <w:tc>
          <w:tcPr>
            <w:tcW w:w="1869" w:type="dxa"/>
            <w:tcBorders>
              <w:top w:val="single" w:sz="4" w:space="0" w:color="8EA9DB"/>
              <w:left w:val="nil"/>
              <w:bottom w:val="nil"/>
              <w:right w:val="single" w:sz="4" w:space="0" w:color="8EA9DB"/>
            </w:tcBorders>
            <w:shd w:val="clear" w:color="auto" w:fill="auto"/>
            <w:noWrap/>
            <w:vAlign w:val="center"/>
            <w:hideMark/>
          </w:tcPr>
          <w:p w14:paraId="1BE1FF4F"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14.5%</w:t>
            </w:r>
          </w:p>
        </w:tc>
      </w:tr>
      <w:tr w:rsidR="00FA11C9" w:rsidRPr="009C15C9" w14:paraId="0E67C71C" w14:textId="77777777" w:rsidTr="00B75B0C">
        <w:trPr>
          <w:cantSplit/>
          <w:trHeight w:val="288"/>
        </w:trPr>
        <w:tc>
          <w:tcPr>
            <w:tcW w:w="2172" w:type="dxa"/>
            <w:tcBorders>
              <w:top w:val="single" w:sz="4" w:space="0" w:color="8EA9DB"/>
              <w:left w:val="single" w:sz="4" w:space="0" w:color="8EA9DB"/>
              <w:bottom w:val="nil"/>
              <w:right w:val="nil"/>
            </w:tcBorders>
            <w:shd w:val="clear" w:color="auto" w:fill="auto"/>
            <w:noWrap/>
            <w:vAlign w:val="bottom"/>
            <w:hideMark/>
          </w:tcPr>
          <w:p w14:paraId="1A163C04" w14:textId="77777777" w:rsidR="00FA11C9" w:rsidRPr="009C15C9" w:rsidRDefault="00FA11C9" w:rsidP="00B75B0C">
            <w:pPr>
              <w:keepNext/>
              <w:keepLines/>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Sharpe Ratio</w:t>
            </w:r>
          </w:p>
        </w:tc>
        <w:tc>
          <w:tcPr>
            <w:tcW w:w="1068" w:type="dxa"/>
            <w:tcBorders>
              <w:top w:val="single" w:sz="4" w:space="0" w:color="8EA9DB"/>
              <w:left w:val="nil"/>
              <w:bottom w:val="nil"/>
              <w:right w:val="nil"/>
            </w:tcBorders>
            <w:shd w:val="clear" w:color="auto" w:fill="auto"/>
            <w:noWrap/>
            <w:vAlign w:val="center"/>
            <w:hideMark/>
          </w:tcPr>
          <w:p w14:paraId="62093028"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0.61</w:t>
            </w:r>
          </w:p>
        </w:tc>
        <w:tc>
          <w:tcPr>
            <w:tcW w:w="1281" w:type="dxa"/>
            <w:tcBorders>
              <w:top w:val="single" w:sz="4" w:space="0" w:color="8EA9DB"/>
              <w:left w:val="nil"/>
              <w:bottom w:val="nil"/>
              <w:right w:val="nil"/>
            </w:tcBorders>
            <w:shd w:val="clear" w:color="auto" w:fill="auto"/>
            <w:noWrap/>
            <w:vAlign w:val="center"/>
            <w:hideMark/>
          </w:tcPr>
          <w:p w14:paraId="15894C0B"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0.60</w:t>
            </w:r>
          </w:p>
        </w:tc>
        <w:tc>
          <w:tcPr>
            <w:tcW w:w="1869" w:type="dxa"/>
            <w:tcBorders>
              <w:top w:val="single" w:sz="4" w:space="0" w:color="8EA9DB"/>
              <w:left w:val="nil"/>
              <w:bottom w:val="nil"/>
              <w:right w:val="single" w:sz="4" w:space="0" w:color="8EA9DB"/>
            </w:tcBorders>
            <w:shd w:val="clear" w:color="auto" w:fill="auto"/>
            <w:noWrap/>
            <w:vAlign w:val="center"/>
            <w:hideMark/>
          </w:tcPr>
          <w:p w14:paraId="4F370FD9"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0.85</w:t>
            </w:r>
          </w:p>
        </w:tc>
      </w:tr>
      <w:tr w:rsidR="00FA11C9" w:rsidRPr="009C15C9" w14:paraId="4008876E" w14:textId="77777777" w:rsidTr="00B75B0C">
        <w:trPr>
          <w:cantSplit/>
          <w:trHeight w:val="288"/>
        </w:trPr>
        <w:tc>
          <w:tcPr>
            <w:tcW w:w="2172" w:type="dxa"/>
            <w:tcBorders>
              <w:top w:val="single" w:sz="4" w:space="0" w:color="8EA9DB"/>
              <w:left w:val="single" w:sz="4" w:space="0" w:color="8EA9DB"/>
              <w:bottom w:val="single" w:sz="4" w:space="0" w:color="8EA9DB"/>
              <w:right w:val="nil"/>
            </w:tcBorders>
            <w:shd w:val="clear" w:color="auto" w:fill="auto"/>
            <w:noWrap/>
            <w:vAlign w:val="bottom"/>
            <w:hideMark/>
          </w:tcPr>
          <w:p w14:paraId="3E4E3764" w14:textId="77777777" w:rsidR="00FA11C9" w:rsidRPr="009C15C9" w:rsidRDefault="00FA11C9" w:rsidP="00B75B0C">
            <w:pPr>
              <w:keepNext/>
              <w:keepLines/>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Max Drawdown</w:t>
            </w:r>
          </w:p>
        </w:tc>
        <w:tc>
          <w:tcPr>
            <w:tcW w:w="1068" w:type="dxa"/>
            <w:tcBorders>
              <w:top w:val="single" w:sz="4" w:space="0" w:color="8EA9DB"/>
              <w:left w:val="nil"/>
              <w:bottom w:val="single" w:sz="4" w:space="0" w:color="8EA9DB"/>
              <w:right w:val="nil"/>
            </w:tcBorders>
            <w:shd w:val="clear" w:color="auto" w:fill="auto"/>
            <w:noWrap/>
            <w:vAlign w:val="center"/>
            <w:hideMark/>
          </w:tcPr>
          <w:p w14:paraId="59AFD656"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-55.2%</w:t>
            </w:r>
          </w:p>
        </w:tc>
        <w:tc>
          <w:tcPr>
            <w:tcW w:w="1281" w:type="dxa"/>
            <w:tcBorders>
              <w:top w:val="single" w:sz="4" w:space="0" w:color="8EA9DB"/>
              <w:left w:val="nil"/>
              <w:bottom w:val="single" w:sz="4" w:space="0" w:color="8EA9DB"/>
              <w:right w:val="nil"/>
            </w:tcBorders>
            <w:shd w:val="clear" w:color="auto" w:fill="auto"/>
            <w:noWrap/>
            <w:vAlign w:val="center"/>
            <w:hideMark/>
          </w:tcPr>
          <w:p w14:paraId="49BE875F"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-64.6%</w:t>
            </w:r>
          </w:p>
        </w:tc>
        <w:tc>
          <w:tcPr>
            <w:tcW w:w="1869" w:type="dxa"/>
            <w:tcBorders>
              <w:top w:val="single" w:sz="4" w:space="0" w:color="8EA9DB"/>
              <w:left w:val="nil"/>
              <w:bottom w:val="single" w:sz="4" w:space="0" w:color="8EA9DB"/>
              <w:right w:val="single" w:sz="4" w:space="0" w:color="8EA9DB"/>
            </w:tcBorders>
            <w:shd w:val="clear" w:color="auto" w:fill="auto"/>
            <w:noWrap/>
            <w:vAlign w:val="center"/>
            <w:hideMark/>
          </w:tcPr>
          <w:p w14:paraId="2D5C1118" w14:textId="77777777" w:rsidR="00FA11C9" w:rsidRPr="009C15C9" w:rsidRDefault="00FA11C9" w:rsidP="00B75B0C">
            <w:pPr>
              <w:keepNext/>
              <w:keepLines/>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-40.3%</w:t>
            </w:r>
          </w:p>
        </w:tc>
      </w:tr>
    </w:tbl>
    <w:p w14:paraId="22406C44" w14:textId="77777777" w:rsidR="00FA11C9" w:rsidRDefault="00FA11C9" w:rsidP="00FA11C9">
      <w:pPr>
        <w:widowControl/>
        <w:tabs>
          <w:tab w:val="left" w:pos="720"/>
        </w:tabs>
        <w:suppressAutoHyphens w:val="0"/>
        <w:spacing w:before="60"/>
        <w:rPr>
          <w:b/>
          <w:bCs/>
        </w:rPr>
      </w:pPr>
    </w:p>
    <w:p w14:paraId="1C86365C" w14:textId="77777777" w:rsidR="00FA11C9" w:rsidRDefault="00FA11C9" w:rsidP="00FA11C9">
      <w:pPr>
        <w:widowControl/>
        <w:tabs>
          <w:tab w:val="left" w:pos="720"/>
        </w:tabs>
        <w:suppressAutoHyphens w:val="0"/>
        <w:spacing w:before="60"/>
        <w:rPr>
          <w:b/>
          <w:bCs/>
        </w:rPr>
      </w:pPr>
      <w:r w:rsidRPr="00BA507A">
        <w:rPr>
          <w:b/>
          <w:bCs/>
        </w:rPr>
        <w:t xml:space="preserve">Combining </w:t>
      </w:r>
      <w:r>
        <w:rPr>
          <w:b/>
          <w:bCs/>
        </w:rPr>
        <w:t>Five</w:t>
      </w:r>
      <w:r w:rsidRPr="00BA507A">
        <w:rPr>
          <w:b/>
          <w:bCs/>
        </w:rPr>
        <w:t xml:space="preserve"> Factors: Value + Quality + Low Volatility</w:t>
      </w:r>
      <w:r>
        <w:rPr>
          <w:b/>
          <w:bCs/>
        </w:rPr>
        <w:t xml:space="preserve"> + Momentum + S&amp;P 500 Risk Management</w:t>
      </w:r>
    </w:p>
    <w:p w14:paraId="63E0301A" w14:textId="77777777" w:rsidR="00FA11C9" w:rsidRPr="00EA229B" w:rsidRDefault="00FA11C9" w:rsidP="00FA11C9">
      <w:pPr>
        <w:widowControl/>
        <w:tabs>
          <w:tab w:val="left" w:pos="720"/>
        </w:tabs>
        <w:suppressAutoHyphens w:val="0"/>
        <w:spacing w:before="60"/>
      </w:pPr>
      <w:r>
        <w:t xml:space="preserve">Adding a Momentum factor that screens for stocks showing recent price gains, and a Market Risk Management rule that </w:t>
      </w:r>
      <w:r w:rsidRPr="00EA229B">
        <w:t>invest</w:t>
      </w:r>
      <w:r>
        <w:t>s</w:t>
      </w:r>
      <w:r w:rsidRPr="00EA229B">
        <w:t xml:space="preserve"> in bonds</w:t>
      </w:r>
      <w:r>
        <w:t xml:space="preserve"> instead of stocks</w:t>
      </w:r>
      <w:r w:rsidRPr="00EA229B">
        <w:t xml:space="preserve"> if </w:t>
      </w:r>
      <w:r>
        <w:t>S&amp;P 500</w:t>
      </w:r>
      <w:r w:rsidRPr="00EA229B">
        <w:t xml:space="preserve"> is below 100-day moving average</w:t>
      </w:r>
      <w:r>
        <w:t>, results in increased returns and reduced drawdown, leaving an impressive Sharpe ratio of risk-adjusted returns.</w:t>
      </w:r>
    </w:p>
    <w:tbl>
      <w:tblPr>
        <w:tblW w:w="8094" w:type="dxa"/>
        <w:tblInd w:w="990" w:type="dxa"/>
        <w:tblLook w:val="04A0" w:firstRow="1" w:lastRow="0" w:firstColumn="1" w:lastColumn="0" w:noHBand="0" w:noVBand="1"/>
      </w:tblPr>
      <w:tblGrid>
        <w:gridCol w:w="2160"/>
        <w:gridCol w:w="1109"/>
        <w:gridCol w:w="1222"/>
        <w:gridCol w:w="1938"/>
        <w:gridCol w:w="1665"/>
      </w:tblGrid>
      <w:tr w:rsidR="00FA11C9" w:rsidRPr="009C15C9" w14:paraId="5404B429" w14:textId="77777777" w:rsidTr="00B75B0C">
        <w:trPr>
          <w:trHeight w:val="570"/>
        </w:trPr>
        <w:tc>
          <w:tcPr>
            <w:tcW w:w="2160" w:type="dxa"/>
            <w:tcBorders>
              <w:top w:val="nil"/>
              <w:left w:val="nil"/>
              <w:bottom w:val="nil"/>
              <w:right w:val="nil"/>
            </w:tcBorders>
            <w:shd w:val="clear" w:color="auto" w:fill="auto"/>
            <w:vAlign w:val="center"/>
            <w:hideMark/>
          </w:tcPr>
          <w:p w14:paraId="2AA236A1"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Jan 2003 – Sept 2019</w:t>
            </w:r>
          </w:p>
        </w:tc>
        <w:tc>
          <w:tcPr>
            <w:tcW w:w="1109" w:type="dxa"/>
            <w:tcBorders>
              <w:top w:val="single" w:sz="4" w:space="0" w:color="8EA9DB"/>
              <w:left w:val="nil"/>
              <w:bottom w:val="nil"/>
              <w:right w:val="nil"/>
            </w:tcBorders>
            <w:shd w:val="clear" w:color="auto" w:fill="004578"/>
            <w:vAlign w:val="center"/>
            <w:hideMark/>
          </w:tcPr>
          <w:p w14:paraId="2C168885" w14:textId="77777777" w:rsidR="00FA11C9" w:rsidRPr="009C15C9" w:rsidRDefault="00FA11C9" w:rsidP="00B75B0C">
            <w:pPr>
              <w:widowControl/>
              <w:tabs>
                <w:tab w:val="left" w:pos="720"/>
              </w:tabs>
              <w:suppressAutoHyphens w:val="0"/>
              <w:spacing w:before="0"/>
              <w:jc w:val="center"/>
              <w:rPr>
                <w:rFonts w:eastAsia="Times New Roman"/>
                <w:b/>
                <w:bCs/>
                <w:color w:val="FFFFFF"/>
                <w:lang w:val="en-US" w:eastAsia="en-US" w:bidi="ar-SA"/>
              </w:rPr>
            </w:pPr>
            <w:r w:rsidRPr="009C15C9">
              <w:rPr>
                <w:rFonts w:eastAsia="Times New Roman"/>
                <w:b/>
                <w:bCs/>
                <w:color w:val="FFFFFF"/>
                <w:lang w:val="en-US" w:eastAsia="en-US" w:bidi="ar-SA"/>
              </w:rPr>
              <w:t xml:space="preserve">S&amp;P 500 </w:t>
            </w:r>
          </w:p>
        </w:tc>
        <w:tc>
          <w:tcPr>
            <w:tcW w:w="1222" w:type="dxa"/>
            <w:tcBorders>
              <w:top w:val="single" w:sz="4" w:space="0" w:color="8EA9DB"/>
              <w:left w:val="nil"/>
              <w:bottom w:val="nil"/>
              <w:right w:val="nil"/>
            </w:tcBorders>
            <w:shd w:val="clear" w:color="auto" w:fill="004578"/>
            <w:vAlign w:val="center"/>
            <w:hideMark/>
          </w:tcPr>
          <w:p w14:paraId="77801B79" w14:textId="77777777" w:rsidR="00FA11C9" w:rsidRPr="009C15C9" w:rsidRDefault="00FA11C9" w:rsidP="00B75B0C">
            <w:pPr>
              <w:widowControl/>
              <w:tabs>
                <w:tab w:val="left" w:pos="720"/>
              </w:tabs>
              <w:suppressAutoHyphens w:val="0"/>
              <w:spacing w:before="0"/>
              <w:jc w:val="center"/>
              <w:rPr>
                <w:rFonts w:eastAsia="Times New Roman"/>
                <w:b/>
                <w:bCs/>
                <w:color w:val="FFFFFF"/>
                <w:lang w:val="en-US" w:eastAsia="en-US" w:bidi="ar-SA"/>
              </w:rPr>
            </w:pPr>
            <w:r w:rsidRPr="009C15C9">
              <w:rPr>
                <w:rFonts w:eastAsia="Times New Roman"/>
                <w:b/>
                <w:bCs/>
                <w:color w:val="FFFFFF"/>
                <w:lang w:val="en-US" w:eastAsia="en-US" w:bidi="ar-SA"/>
              </w:rPr>
              <w:t>Value + Quality</w:t>
            </w:r>
          </w:p>
        </w:tc>
        <w:tc>
          <w:tcPr>
            <w:tcW w:w="1938" w:type="dxa"/>
            <w:tcBorders>
              <w:top w:val="single" w:sz="4" w:space="0" w:color="8EA9DB"/>
              <w:left w:val="nil"/>
              <w:bottom w:val="nil"/>
              <w:right w:val="single" w:sz="4" w:space="0" w:color="8EA9DB"/>
            </w:tcBorders>
            <w:shd w:val="clear" w:color="auto" w:fill="004578"/>
            <w:vAlign w:val="center"/>
            <w:hideMark/>
          </w:tcPr>
          <w:p w14:paraId="08AAE3E7" w14:textId="77777777" w:rsidR="00FA11C9" w:rsidRPr="009C15C9" w:rsidRDefault="00FA11C9" w:rsidP="00B75B0C">
            <w:pPr>
              <w:widowControl/>
              <w:tabs>
                <w:tab w:val="left" w:pos="720"/>
              </w:tabs>
              <w:suppressAutoHyphens w:val="0"/>
              <w:spacing w:before="0"/>
              <w:jc w:val="center"/>
              <w:rPr>
                <w:rFonts w:eastAsia="Times New Roman"/>
                <w:b/>
                <w:bCs/>
                <w:color w:val="FFFFFF"/>
                <w:lang w:val="en-US" w:eastAsia="en-US" w:bidi="ar-SA"/>
              </w:rPr>
            </w:pPr>
            <w:r w:rsidRPr="009C15C9">
              <w:rPr>
                <w:rFonts w:eastAsia="Times New Roman"/>
                <w:b/>
                <w:bCs/>
                <w:color w:val="FFFFFF"/>
                <w:lang w:val="en-US" w:eastAsia="en-US" w:bidi="ar-SA"/>
              </w:rPr>
              <w:t>Value + Quality + Low Volatility</w:t>
            </w:r>
          </w:p>
        </w:tc>
        <w:tc>
          <w:tcPr>
            <w:tcW w:w="1665" w:type="dxa"/>
            <w:tcBorders>
              <w:top w:val="single" w:sz="4" w:space="0" w:color="8EA9DB"/>
              <w:left w:val="nil"/>
              <w:bottom w:val="nil"/>
              <w:right w:val="single" w:sz="4" w:space="0" w:color="8EA9DB"/>
            </w:tcBorders>
            <w:shd w:val="clear" w:color="auto" w:fill="004578"/>
            <w:vAlign w:val="center"/>
          </w:tcPr>
          <w:p w14:paraId="1EF5BA9C" w14:textId="77777777" w:rsidR="00FA11C9" w:rsidRPr="009C15C9" w:rsidRDefault="00FA11C9" w:rsidP="00B75B0C">
            <w:pPr>
              <w:widowControl/>
              <w:tabs>
                <w:tab w:val="left" w:pos="720"/>
              </w:tabs>
              <w:suppressAutoHyphens w:val="0"/>
              <w:spacing w:before="0"/>
              <w:jc w:val="center"/>
              <w:rPr>
                <w:rFonts w:eastAsia="Times New Roman"/>
                <w:b/>
                <w:bCs/>
                <w:color w:val="FFFFFF"/>
                <w:lang w:val="en-US" w:eastAsia="en-US" w:bidi="ar-SA"/>
              </w:rPr>
            </w:pPr>
            <w:r>
              <w:rPr>
                <w:rFonts w:eastAsia="Times New Roman"/>
                <w:b/>
                <w:bCs/>
                <w:color w:val="FFFFFF"/>
                <w:lang w:val="en-US" w:eastAsia="en-US" w:bidi="ar-SA"/>
              </w:rPr>
              <w:t>+ Momentum &amp; S&amp;P 500 Risk Management</w:t>
            </w:r>
          </w:p>
        </w:tc>
      </w:tr>
      <w:tr w:rsidR="00FA11C9" w:rsidRPr="009C15C9" w14:paraId="1772E8BC" w14:textId="77777777" w:rsidTr="00B75B0C">
        <w:trPr>
          <w:trHeight w:val="284"/>
        </w:trPr>
        <w:tc>
          <w:tcPr>
            <w:tcW w:w="2160" w:type="dxa"/>
            <w:tcBorders>
              <w:top w:val="single" w:sz="4" w:space="0" w:color="8EA9DB"/>
              <w:left w:val="single" w:sz="4" w:space="0" w:color="8EA9DB"/>
              <w:bottom w:val="nil"/>
              <w:right w:val="nil"/>
            </w:tcBorders>
            <w:shd w:val="clear" w:color="auto" w:fill="auto"/>
            <w:noWrap/>
            <w:vAlign w:val="bottom"/>
            <w:hideMark/>
          </w:tcPr>
          <w:p w14:paraId="5380594B" w14:textId="77777777" w:rsidR="00FA11C9" w:rsidRPr="009C15C9" w:rsidRDefault="00FA11C9" w:rsidP="00B75B0C">
            <w:pPr>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Annual Return</w:t>
            </w:r>
          </w:p>
        </w:tc>
        <w:tc>
          <w:tcPr>
            <w:tcW w:w="1109" w:type="dxa"/>
            <w:tcBorders>
              <w:top w:val="single" w:sz="4" w:space="0" w:color="8EA9DB"/>
              <w:left w:val="nil"/>
              <w:bottom w:val="nil"/>
              <w:right w:val="nil"/>
            </w:tcBorders>
            <w:shd w:val="clear" w:color="auto" w:fill="auto"/>
            <w:noWrap/>
            <w:vAlign w:val="center"/>
            <w:hideMark/>
          </w:tcPr>
          <w:p w14:paraId="7DEE6843"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9.6%</w:t>
            </w:r>
          </w:p>
        </w:tc>
        <w:tc>
          <w:tcPr>
            <w:tcW w:w="1222" w:type="dxa"/>
            <w:tcBorders>
              <w:top w:val="single" w:sz="4" w:space="0" w:color="8EA9DB"/>
              <w:left w:val="nil"/>
              <w:bottom w:val="nil"/>
              <w:right w:val="nil"/>
            </w:tcBorders>
            <w:shd w:val="clear" w:color="auto" w:fill="auto"/>
            <w:noWrap/>
            <w:vAlign w:val="center"/>
            <w:hideMark/>
          </w:tcPr>
          <w:p w14:paraId="3E22C043"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11.3%</w:t>
            </w:r>
          </w:p>
        </w:tc>
        <w:tc>
          <w:tcPr>
            <w:tcW w:w="1938" w:type="dxa"/>
            <w:tcBorders>
              <w:top w:val="single" w:sz="4" w:space="0" w:color="8EA9DB"/>
              <w:left w:val="nil"/>
              <w:bottom w:val="nil"/>
              <w:right w:val="single" w:sz="4" w:space="0" w:color="8EA9DB"/>
            </w:tcBorders>
            <w:shd w:val="clear" w:color="auto" w:fill="auto"/>
            <w:noWrap/>
            <w:vAlign w:val="center"/>
            <w:hideMark/>
          </w:tcPr>
          <w:p w14:paraId="56368FCC"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11.9%</w:t>
            </w:r>
          </w:p>
        </w:tc>
        <w:tc>
          <w:tcPr>
            <w:tcW w:w="1665" w:type="dxa"/>
            <w:tcBorders>
              <w:top w:val="single" w:sz="4" w:space="0" w:color="8EA9DB"/>
              <w:left w:val="nil"/>
              <w:bottom w:val="nil"/>
              <w:right w:val="single" w:sz="4" w:space="0" w:color="8EA9DB"/>
            </w:tcBorders>
          </w:tcPr>
          <w:p w14:paraId="06376D90"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13.30%</w:t>
            </w:r>
          </w:p>
        </w:tc>
      </w:tr>
      <w:tr w:rsidR="00FA11C9" w:rsidRPr="009C15C9" w14:paraId="0438AC59" w14:textId="77777777" w:rsidTr="00B75B0C">
        <w:trPr>
          <w:trHeight w:val="284"/>
        </w:trPr>
        <w:tc>
          <w:tcPr>
            <w:tcW w:w="2160" w:type="dxa"/>
            <w:tcBorders>
              <w:top w:val="single" w:sz="4" w:space="0" w:color="8EA9DB"/>
              <w:left w:val="single" w:sz="4" w:space="0" w:color="8EA9DB"/>
              <w:bottom w:val="nil"/>
              <w:right w:val="nil"/>
            </w:tcBorders>
            <w:shd w:val="clear" w:color="auto" w:fill="auto"/>
            <w:noWrap/>
            <w:vAlign w:val="bottom"/>
            <w:hideMark/>
          </w:tcPr>
          <w:p w14:paraId="2E572959" w14:textId="77777777" w:rsidR="00FA11C9" w:rsidRPr="009C15C9" w:rsidRDefault="00FA11C9" w:rsidP="00B75B0C">
            <w:pPr>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Cumulative Returns</w:t>
            </w:r>
          </w:p>
        </w:tc>
        <w:tc>
          <w:tcPr>
            <w:tcW w:w="1109" w:type="dxa"/>
            <w:tcBorders>
              <w:top w:val="single" w:sz="4" w:space="0" w:color="8EA9DB"/>
              <w:left w:val="nil"/>
              <w:bottom w:val="nil"/>
              <w:right w:val="nil"/>
            </w:tcBorders>
            <w:shd w:val="clear" w:color="auto" w:fill="auto"/>
            <w:noWrap/>
            <w:vAlign w:val="center"/>
            <w:hideMark/>
          </w:tcPr>
          <w:p w14:paraId="60DA05E2"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365.4%</w:t>
            </w:r>
          </w:p>
        </w:tc>
        <w:tc>
          <w:tcPr>
            <w:tcW w:w="1222" w:type="dxa"/>
            <w:tcBorders>
              <w:top w:val="single" w:sz="4" w:space="0" w:color="8EA9DB"/>
              <w:left w:val="nil"/>
              <w:bottom w:val="nil"/>
              <w:right w:val="nil"/>
            </w:tcBorders>
            <w:shd w:val="clear" w:color="auto" w:fill="auto"/>
            <w:noWrap/>
            <w:vAlign w:val="center"/>
            <w:hideMark/>
          </w:tcPr>
          <w:p w14:paraId="2720A50A"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498.8%</w:t>
            </w:r>
          </w:p>
        </w:tc>
        <w:tc>
          <w:tcPr>
            <w:tcW w:w="1938" w:type="dxa"/>
            <w:tcBorders>
              <w:top w:val="single" w:sz="4" w:space="0" w:color="8EA9DB"/>
              <w:left w:val="nil"/>
              <w:bottom w:val="nil"/>
              <w:right w:val="single" w:sz="4" w:space="0" w:color="8EA9DB"/>
            </w:tcBorders>
            <w:shd w:val="clear" w:color="auto" w:fill="auto"/>
            <w:noWrap/>
            <w:vAlign w:val="center"/>
            <w:hideMark/>
          </w:tcPr>
          <w:p w14:paraId="2A6846BA"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557.5%</w:t>
            </w:r>
          </w:p>
        </w:tc>
        <w:tc>
          <w:tcPr>
            <w:tcW w:w="1665" w:type="dxa"/>
            <w:tcBorders>
              <w:top w:val="single" w:sz="4" w:space="0" w:color="8EA9DB"/>
              <w:left w:val="nil"/>
              <w:bottom w:val="nil"/>
              <w:right w:val="single" w:sz="4" w:space="0" w:color="8EA9DB"/>
            </w:tcBorders>
          </w:tcPr>
          <w:p w14:paraId="7D6E1C17"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701.40%</w:t>
            </w:r>
          </w:p>
        </w:tc>
      </w:tr>
      <w:tr w:rsidR="00FA11C9" w:rsidRPr="009C15C9" w14:paraId="29CA138A" w14:textId="77777777" w:rsidTr="00B75B0C">
        <w:trPr>
          <w:trHeight w:val="284"/>
        </w:trPr>
        <w:tc>
          <w:tcPr>
            <w:tcW w:w="2160" w:type="dxa"/>
            <w:tcBorders>
              <w:top w:val="single" w:sz="4" w:space="0" w:color="8EA9DB"/>
              <w:left w:val="single" w:sz="4" w:space="0" w:color="8EA9DB"/>
              <w:bottom w:val="nil"/>
              <w:right w:val="nil"/>
            </w:tcBorders>
            <w:shd w:val="clear" w:color="auto" w:fill="auto"/>
            <w:noWrap/>
            <w:vAlign w:val="bottom"/>
            <w:hideMark/>
          </w:tcPr>
          <w:p w14:paraId="0D388DE7" w14:textId="77777777" w:rsidR="00FA11C9" w:rsidRPr="009C15C9" w:rsidRDefault="00FA11C9" w:rsidP="00B75B0C">
            <w:pPr>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Annual Volatility</w:t>
            </w:r>
          </w:p>
        </w:tc>
        <w:tc>
          <w:tcPr>
            <w:tcW w:w="1109" w:type="dxa"/>
            <w:tcBorders>
              <w:top w:val="single" w:sz="4" w:space="0" w:color="8EA9DB"/>
              <w:left w:val="nil"/>
              <w:bottom w:val="nil"/>
              <w:right w:val="nil"/>
            </w:tcBorders>
            <w:shd w:val="clear" w:color="auto" w:fill="auto"/>
            <w:noWrap/>
            <w:vAlign w:val="center"/>
            <w:hideMark/>
          </w:tcPr>
          <w:p w14:paraId="4DA899E7"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17.8%</w:t>
            </w:r>
          </w:p>
        </w:tc>
        <w:tc>
          <w:tcPr>
            <w:tcW w:w="1222" w:type="dxa"/>
            <w:tcBorders>
              <w:top w:val="single" w:sz="4" w:space="0" w:color="8EA9DB"/>
              <w:left w:val="nil"/>
              <w:bottom w:val="nil"/>
              <w:right w:val="nil"/>
            </w:tcBorders>
            <w:shd w:val="clear" w:color="auto" w:fill="auto"/>
            <w:noWrap/>
            <w:vAlign w:val="center"/>
            <w:hideMark/>
          </w:tcPr>
          <w:p w14:paraId="58251B97"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21.9%</w:t>
            </w:r>
          </w:p>
        </w:tc>
        <w:tc>
          <w:tcPr>
            <w:tcW w:w="1938" w:type="dxa"/>
            <w:tcBorders>
              <w:top w:val="single" w:sz="4" w:space="0" w:color="8EA9DB"/>
              <w:left w:val="nil"/>
              <w:bottom w:val="nil"/>
              <w:right w:val="single" w:sz="4" w:space="0" w:color="8EA9DB"/>
            </w:tcBorders>
            <w:shd w:val="clear" w:color="auto" w:fill="auto"/>
            <w:noWrap/>
            <w:vAlign w:val="center"/>
            <w:hideMark/>
          </w:tcPr>
          <w:p w14:paraId="22A0668B"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14.5%</w:t>
            </w:r>
          </w:p>
        </w:tc>
        <w:tc>
          <w:tcPr>
            <w:tcW w:w="1665" w:type="dxa"/>
            <w:tcBorders>
              <w:top w:val="single" w:sz="4" w:space="0" w:color="8EA9DB"/>
              <w:left w:val="nil"/>
              <w:bottom w:val="nil"/>
              <w:right w:val="single" w:sz="4" w:space="0" w:color="8EA9DB"/>
            </w:tcBorders>
          </w:tcPr>
          <w:p w14:paraId="7E8AB18B"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12.00%</w:t>
            </w:r>
          </w:p>
        </w:tc>
      </w:tr>
      <w:tr w:rsidR="00FA11C9" w:rsidRPr="009C15C9" w14:paraId="546B6B58" w14:textId="77777777" w:rsidTr="00B75B0C">
        <w:trPr>
          <w:trHeight w:val="284"/>
        </w:trPr>
        <w:tc>
          <w:tcPr>
            <w:tcW w:w="2160" w:type="dxa"/>
            <w:tcBorders>
              <w:top w:val="single" w:sz="4" w:space="0" w:color="8EA9DB"/>
              <w:left w:val="single" w:sz="4" w:space="0" w:color="8EA9DB"/>
              <w:bottom w:val="nil"/>
              <w:right w:val="nil"/>
            </w:tcBorders>
            <w:shd w:val="clear" w:color="auto" w:fill="auto"/>
            <w:noWrap/>
            <w:vAlign w:val="bottom"/>
            <w:hideMark/>
          </w:tcPr>
          <w:p w14:paraId="485C5A4B" w14:textId="77777777" w:rsidR="00FA11C9" w:rsidRPr="009C15C9" w:rsidRDefault="00FA11C9" w:rsidP="00B75B0C">
            <w:pPr>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Sharpe Ratio</w:t>
            </w:r>
          </w:p>
        </w:tc>
        <w:tc>
          <w:tcPr>
            <w:tcW w:w="1109" w:type="dxa"/>
            <w:tcBorders>
              <w:top w:val="single" w:sz="4" w:space="0" w:color="8EA9DB"/>
              <w:left w:val="nil"/>
              <w:bottom w:val="nil"/>
              <w:right w:val="nil"/>
            </w:tcBorders>
            <w:shd w:val="clear" w:color="auto" w:fill="auto"/>
            <w:noWrap/>
            <w:vAlign w:val="center"/>
            <w:hideMark/>
          </w:tcPr>
          <w:p w14:paraId="1A00BBD3"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0.61</w:t>
            </w:r>
          </w:p>
        </w:tc>
        <w:tc>
          <w:tcPr>
            <w:tcW w:w="1222" w:type="dxa"/>
            <w:tcBorders>
              <w:top w:val="single" w:sz="4" w:space="0" w:color="8EA9DB"/>
              <w:left w:val="nil"/>
              <w:bottom w:val="nil"/>
              <w:right w:val="nil"/>
            </w:tcBorders>
            <w:shd w:val="clear" w:color="auto" w:fill="auto"/>
            <w:noWrap/>
            <w:vAlign w:val="center"/>
            <w:hideMark/>
          </w:tcPr>
          <w:p w14:paraId="2932598E"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0.60</w:t>
            </w:r>
          </w:p>
        </w:tc>
        <w:tc>
          <w:tcPr>
            <w:tcW w:w="1938" w:type="dxa"/>
            <w:tcBorders>
              <w:top w:val="single" w:sz="4" w:space="0" w:color="8EA9DB"/>
              <w:left w:val="nil"/>
              <w:bottom w:val="nil"/>
              <w:right w:val="single" w:sz="4" w:space="0" w:color="8EA9DB"/>
            </w:tcBorders>
            <w:shd w:val="clear" w:color="auto" w:fill="auto"/>
            <w:noWrap/>
            <w:vAlign w:val="center"/>
            <w:hideMark/>
          </w:tcPr>
          <w:p w14:paraId="0BA27681"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0.85</w:t>
            </w:r>
          </w:p>
        </w:tc>
        <w:tc>
          <w:tcPr>
            <w:tcW w:w="1665" w:type="dxa"/>
            <w:tcBorders>
              <w:top w:val="single" w:sz="4" w:space="0" w:color="8EA9DB"/>
              <w:left w:val="nil"/>
              <w:bottom w:val="nil"/>
              <w:right w:val="single" w:sz="4" w:space="0" w:color="8EA9DB"/>
            </w:tcBorders>
          </w:tcPr>
          <w:p w14:paraId="72A8E523"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1.10</w:t>
            </w:r>
          </w:p>
        </w:tc>
      </w:tr>
      <w:tr w:rsidR="00FA11C9" w:rsidRPr="009C15C9" w14:paraId="5B31A296" w14:textId="77777777" w:rsidTr="00B75B0C">
        <w:trPr>
          <w:trHeight w:val="284"/>
        </w:trPr>
        <w:tc>
          <w:tcPr>
            <w:tcW w:w="2160" w:type="dxa"/>
            <w:tcBorders>
              <w:top w:val="single" w:sz="4" w:space="0" w:color="8EA9DB"/>
              <w:left w:val="single" w:sz="4" w:space="0" w:color="8EA9DB"/>
              <w:bottom w:val="single" w:sz="4" w:space="0" w:color="8EA9DB"/>
              <w:right w:val="nil"/>
            </w:tcBorders>
            <w:shd w:val="clear" w:color="auto" w:fill="auto"/>
            <w:noWrap/>
            <w:vAlign w:val="bottom"/>
            <w:hideMark/>
          </w:tcPr>
          <w:p w14:paraId="38020415" w14:textId="77777777" w:rsidR="00FA11C9" w:rsidRPr="009C15C9" w:rsidRDefault="00FA11C9" w:rsidP="00B75B0C">
            <w:pPr>
              <w:widowControl/>
              <w:tabs>
                <w:tab w:val="left" w:pos="720"/>
              </w:tabs>
              <w:suppressAutoHyphens w:val="0"/>
              <w:spacing w:before="0"/>
              <w:rPr>
                <w:rFonts w:eastAsia="Times New Roman"/>
                <w:lang w:val="en-US" w:eastAsia="en-US" w:bidi="ar-SA"/>
              </w:rPr>
            </w:pPr>
            <w:r w:rsidRPr="009C15C9">
              <w:rPr>
                <w:rFonts w:eastAsia="Times New Roman"/>
                <w:lang w:val="en-US" w:eastAsia="en-US" w:bidi="ar-SA"/>
              </w:rPr>
              <w:t>Max Drawdown</w:t>
            </w:r>
          </w:p>
        </w:tc>
        <w:tc>
          <w:tcPr>
            <w:tcW w:w="1109" w:type="dxa"/>
            <w:tcBorders>
              <w:top w:val="single" w:sz="4" w:space="0" w:color="8EA9DB"/>
              <w:left w:val="nil"/>
              <w:bottom w:val="single" w:sz="4" w:space="0" w:color="8EA9DB"/>
              <w:right w:val="nil"/>
            </w:tcBorders>
            <w:shd w:val="clear" w:color="auto" w:fill="auto"/>
            <w:noWrap/>
            <w:vAlign w:val="center"/>
            <w:hideMark/>
          </w:tcPr>
          <w:p w14:paraId="40636FCC"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-55.2%</w:t>
            </w:r>
          </w:p>
        </w:tc>
        <w:tc>
          <w:tcPr>
            <w:tcW w:w="1222" w:type="dxa"/>
            <w:tcBorders>
              <w:top w:val="single" w:sz="4" w:space="0" w:color="8EA9DB"/>
              <w:left w:val="nil"/>
              <w:bottom w:val="single" w:sz="4" w:space="0" w:color="8EA9DB"/>
              <w:right w:val="nil"/>
            </w:tcBorders>
            <w:shd w:val="clear" w:color="auto" w:fill="auto"/>
            <w:noWrap/>
            <w:vAlign w:val="center"/>
            <w:hideMark/>
          </w:tcPr>
          <w:p w14:paraId="41C4BA9A"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-64.6%</w:t>
            </w:r>
          </w:p>
        </w:tc>
        <w:tc>
          <w:tcPr>
            <w:tcW w:w="1938" w:type="dxa"/>
            <w:tcBorders>
              <w:top w:val="single" w:sz="4" w:space="0" w:color="8EA9DB"/>
              <w:left w:val="nil"/>
              <w:bottom w:val="single" w:sz="4" w:space="0" w:color="8EA9DB"/>
              <w:right w:val="single" w:sz="4" w:space="0" w:color="8EA9DB"/>
            </w:tcBorders>
            <w:shd w:val="clear" w:color="auto" w:fill="auto"/>
            <w:noWrap/>
            <w:vAlign w:val="center"/>
            <w:hideMark/>
          </w:tcPr>
          <w:p w14:paraId="33378974"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-40.3%</w:t>
            </w:r>
          </w:p>
        </w:tc>
        <w:tc>
          <w:tcPr>
            <w:tcW w:w="1665" w:type="dxa"/>
            <w:tcBorders>
              <w:top w:val="single" w:sz="4" w:space="0" w:color="8EA9DB"/>
              <w:left w:val="nil"/>
              <w:bottom w:val="single" w:sz="4" w:space="0" w:color="8EA9DB"/>
              <w:right w:val="single" w:sz="4" w:space="0" w:color="8EA9DB"/>
            </w:tcBorders>
          </w:tcPr>
          <w:p w14:paraId="74A0E301" w14:textId="77777777" w:rsidR="00FA11C9" w:rsidRPr="009C15C9" w:rsidRDefault="00FA11C9" w:rsidP="00B75B0C">
            <w:pPr>
              <w:widowControl/>
              <w:tabs>
                <w:tab w:val="left" w:pos="720"/>
              </w:tabs>
              <w:suppressAutoHyphens w:val="0"/>
              <w:spacing w:before="0"/>
              <w:jc w:val="center"/>
              <w:rPr>
                <w:rFonts w:eastAsia="Times New Roman"/>
                <w:lang w:val="en-US" w:eastAsia="en-US" w:bidi="ar-SA"/>
              </w:rPr>
            </w:pPr>
            <w:r w:rsidRPr="009C15C9">
              <w:rPr>
                <w:rFonts w:eastAsia="Times New Roman"/>
                <w:lang w:val="en-US" w:eastAsia="en-US" w:bidi="ar-SA"/>
              </w:rPr>
              <w:t>-23.00%</w:t>
            </w:r>
          </w:p>
        </w:tc>
      </w:tr>
    </w:tbl>
    <w:p w14:paraId="1A372CD6" w14:textId="77777777" w:rsidR="00FA11C9" w:rsidRDefault="00FA11C9" w:rsidP="00FA11C9">
      <w:pPr>
        <w:widowControl/>
        <w:tabs>
          <w:tab w:val="left" w:pos="720"/>
        </w:tabs>
        <w:suppressAutoHyphens w:val="0"/>
        <w:spacing w:before="60"/>
        <w:rPr>
          <w:b/>
          <w:bCs/>
        </w:rPr>
      </w:pPr>
    </w:p>
    <w:p w14:paraId="51BFC723" w14:textId="77777777" w:rsidR="00FA11C9" w:rsidRPr="004C6AA5" w:rsidRDefault="00FA11C9" w:rsidP="00FA11C9">
      <w:pPr>
        <w:widowControl/>
        <w:tabs>
          <w:tab w:val="left" w:pos="720"/>
        </w:tabs>
        <w:suppressAutoHyphens w:val="0"/>
        <w:spacing w:before="60"/>
        <w:rPr>
          <w:b/>
          <w:bCs/>
        </w:rPr>
      </w:pPr>
      <w:r w:rsidRPr="004C6AA5">
        <w:rPr>
          <w:b/>
          <w:bCs/>
        </w:rPr>
        <w:t>Factors Use</w:t>
      </w:r>
      <w:r>
        <w:rPr>
          <w:b/>
          <w:bCs/>
        </w:rPr>
        <w:t>d</w:t>
      </w:r>
      <w:r w:rsidRPr="004C6AA5">
        <w:rPr>
          <w:b/>
          <w:bCs/>
        </w:rPr>
        <w:t>:</w:t>
      </w:r>
    </w:p>
    <w:p w14:paraId="454768CD" w14:textId="77777777" w:rsidR="00FA11C9" w:rsidRDefault="00FA11C9" w:rsidP="00FA11C9">
      <w:pPr>
        <w:pStyle w:val="ListParagraph"/>
        <w:numPr>
          <w:ilvl w:val="0"/>
          <w:numId w:val="18"/>
        </w:numPr>
        <w:tabs>
          <w:tab w:val="left" w:pos="720"/>
        </w:tabs>
        <w:spacing w:before="60"/>
      </w:pPr>
      <w:r>
        <w:t>Value:  Earnings Before Interest and Taxes / Enterprise Value</w:t>
      </w:r>
    </w:p>
    <w:p w14:paraId="5F8C4734" w14:textId="77777777" w:rsidR="00FA11C9" w:rsidRDefault="00FA11C9" w:rsidP="00FA11C9">
      <w:pPr>
        <w:pStyle w:val="ListParagraph"/>
        <w:numPr>
          <w:ilvl w:val="0"/>
          <w:numId w:val="18"/>
        </w:numPr>
        <w:tabs>
          <w:tab w:val="left" w:pos="720"/>
        </w:tabs>
        <w:spacing w:before="60"/>
      </w:pPr>
      <w:r>
        <w:t xml:space="preserve">Quality:  Return on Invested Capital </w:t>
      </w:r>
    </w:p>
    <w:p w14:paraId="239481B7" w14:textId="77777777" w:rsidR="00FA11C9" w:rsidRDefault="00FA11C9" w:rsidP="00FA11C9">
      <w:pPr>
        <w:pStyle w:val="ListParagraph"/>
        <w:numPr>
          <w:ilvl w:val="0"/>
          <w:numId w:val="18"/>
        </w:numPr>
        <w:tabs>
          <w:tab w:val="left" w:pos="720"/>
        </w:tabs>
        <w:spacing w:before="60"/>
      </w:pPr>
      <w:r>
        <w:t>Low Volatility:  100-Day Lookback</w:t>
      </w:r>
    </w:p>
    <w:p w14:paraId="13410B92" w14:textId="77777777" w:rsidR="00FA11C9" w:rsidRDefault="00FA11C9" w:rsidP="00FA11C9">
      <w:pPr>
        <w:pStyle w:val="ListParagraph"/>
        <w:numPr>
          <w:ilvl w:val="0"/>
          <w:numId w:val="18"/>
        </w:numPr>
        <w:tabs>
          <w:tab w:val="left" w:pos="720"/>
        </w:tabs>
        <w:spacing w:before="60"/>
      </w:pPr>
      <w:r>
        <w:t xml:space="preserve">Momentum:  </w:t>
      </w:r>
      <w:r w:rsidRPr="004C6AA5">
        <w:t xml:space="preserve">6-Month </w:t>
      </w:r>
      <w:r>
        <w:t>Return, ignoring the most recent month</w:t>
      </w:r>
    </w:p>
    <w:p w14:paraId="41659B75" w14:textId="77777777" w:rsidR="00FA11C9" w:rsidRDefault="00FA11C9" w:rsidP="00FA11C9">
      <w:pPr>
        <w:keepNext/>
        <w:tabs>
          <w:tab w:val="left" w:pos="720"/>
        </w:tabs>
        <w:spacing w:before="60"/>
        <w:rPr>
          <w:b/>
          <w:bCs/>
        </w:rPr>
      </w:pPr>
    </w:p>
    <w:p w14:paraId="7209B2EA" w14:textId="77777777" w:rsidR="00FA11C9" w:rsidRDefault="00FA11C9" w:rsidP="00FA11C9">
      <w:pPr>
        <w:keepNext/>
        <w:tabs>
          <w:tab w:val="left" w:pos="720"/>
        </w:tabs>
        <w:spacing w:before="60"/>
      </w:pPr>
      <w:r w:rsidRPr="00940092">
        <w:rPr>
          <w:b/>
          <w:bCs/>
        </w:rPr>
        <w:t>Summary</w:t>
      </w:r>
      <w:r>
        <w:t>:</w:t>
      </w:r>
    </w:p>
    <w:p w14:paraId="7921ABEC" w14:textId="77777777" w:rsidR="00FA11C9" w:rsidRDefault="00FA11C9" w:rsidP="00FA11C9">
      <w:pPr>
        <w:widowControl/>
        <w:tabs>
          <w:tab w:val="left" w:pos="720"/>
        </w:tabs>
        <w:suppressAutoHyphens w:val="0"/>
        <w:spacing w:before="60"/>
      </w:pPr>
      <w:r>
        <w:t>Unfortunately, this analysis can no longer be repeated since Quantopian.com has shut down, but taken at face value, the model produces a 37.5% annualized improvement over 15+ years vs. the S&amp;P 500 with considerably less risk. In simpler terms, a theoretical $250k would have grown to $1.1M with the S&amp;P 500 and $2.0M in the model over the 15+ years.</w:t>
      </w:r>
    </w:p>
    <w:p w14:paraId="1BCD72C0" w14:textId="77777777" w:rsidR="00FA11C9" w:rsidRDefault="00FA11C9" w:rsidP="00FA11C9">
      <w:pPr>
        <w:widowControl/>
        <w:tabs>
          <w:tab w:val="left" w:pos="720"/>
        </w:tabs>
        <w:suppressAutoHyphens w:val="0"/>
        <w:spacing w:before="0"/>
        <w:rPr>
          <w:rFonts w:ascii="Cambria" w:hAnsi="Cambria"/>
          <w:color w:val="1F497D"/>
          <w:sz w:val="28"/>
        </w:rPr>
      </w:pPr>
    </w:p>
    <w:p w14:paraId="33B7E686" w14:textId="77777777" w:rsidR="00FA11C9" w:rsidRDefault="00FA11C9" w:rsidP="00FA11C9">
      <w:pPr>
        <w:widowControl/>
        <w:tabs>
          <w:tab w:val="left" w:pos="720"/>
        </w:tabs>
        <w:suppressAutoHyphens w:val="0"/>
        <w:spacing w:before="0"/>
        <w:rPr>
          <w:rFonts w:ascii="Cambria" w:hAnsi="Cambria"/>
          <w:color w:val="1F497D"/>
          <w:sz w:val="28"/>
        </w:rPr>
      </w:pPr>
      <w:r>
        <w:br w:type="page"/>
      </w:r>
    </w:p>
    <w:p w14:paraId="3113740E" w14:textId="77777777" w:rsidR="00FA11C9" w:rsidRPr="009C15C9" w:rsidRDefault="00FA11C9" w:rsidP="00FA11C9">
      <w:pPr>
        <w:pStyle w:val="Heading3"/>
        <w:keepNext/>
        <w:widowControl/>
        <w:tabs>
          <w:tab w:val="left" w:pos="720"/>
        </w:tabs>
        <w:spacing w:before="160"/>
      </w:pPr>
      <w:r w:rsidRPr="009C15C9">
        <w:lastRenderedPageBreak/>
        <w:t>Bloomberg MVP Portfolio: Double the Return of the Index with Less Risk</w:t>
      </w:r>
    </w:p>
    <w:p w14:paraId="5257FA9A" w14:textId="77777777" w:rsidR="00FA11C9" w:rsidRDefault="00FA11C9" w:rsidP="00FA11C9">
      <w:pPr>
        <w:widowControl/>
        <w:tabs>
          <w:tab w:val="left" w:pos="720"/>
        </w:tabs>
        <w:suppressAutoHyphens w:val="0"/>
        <w:spacing w:before="60"/>
      </w:pPr>
      <w:r>
        <w:t xml:space="preserve">Author: </w:t>
      </w:r>
      <w:r w:rsidRPr="00654056">
        <w:t>Christopher Cain, CMT</w:t>
      </w:r>
      <w:r>
        <w:t xml:space="preserve"> &amp; Others. </w:t>
      </w:r>
      <w:r>
        <w:tab/>
        <w:t>Released: December 2022</w:t>
      </w:r>
    </w:p>
    <w:p w14:paraId="1435C4A8" w14:textId="77777777" w:rsidR="00FA11C9" w:rsidRDefault="00FA11C9" w:rsidP="00FA11C9">
      <w:pPr>
        <w:widowControl/>
        <w:tabs>
          <w:tab w:val="left" w:pos="720"/>
        </w:tabs>
        <w:suppressAutoHyphens w:val="0"/>
        <w:spacing w:before="60"/>
        <w:jc w:val="center"/>
      </w:pPr>
      <w:r>
        <w:rPr>
          <w:noProof/>
        </w:rPr>
        <w:drawing>
          <wp:inline distT="0" distB="0" distL="0" distR="0" wp14:anchorId="416407A8" wp14:editId="3586971E">
            <wp:extent cx="4342386" cy="2587336"/>
            <wp:effectExtent l="0" t="0" r="1270" b="381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3043" cy="2653269"/>
                    </a:xfrm>
                    <a:prstGeom prst="rect">
                      <a:avLst/>
                    </a:prstGeom>
                    <a:noFill/>
                    <a:ln>
                      <a:noFill/>
                    </a:ln>
                  </pic:spPr>
                </pic:pic>
              </a:graphicData>
            </a:graphic>
          </wp:inline>
        </w:drawing>
      </w:r>
    </w:p>
    <w:p w14:paraId="6DC62B48" w14:textId="77777777" w:rsidR="00FA11C9" w:rsidRPr="009C15C9" w:rsidRDefault="00FA11C9" w:rsidP="00FA11C9">
      <w:pPr>
        <w:pStyle w:val="Caption"/>
        <w:tabs>
          <w:tab w:val="left" w:pos="720"/>
        </w:tabs>
        <w:rPr>
          <w:sz w:val="20"/>
          <w:szCs w:val="20"/>
        </w:rPr>
      </w:pPr>
      <w:r w:rsidRPr="009C15C9">
        <w:rPr>
          <w:sz w:val="20"/>
          <w:szCs w:val="20"/>
        </w:rPr>
        <w:t xml:space="preserve">Source: </w:t>
      </w:r>
      <w:hyperlink r:id="rId18" w:history="1">
        <w:r w:rsidRPr="009C15C9">
          <w:rPr>
            <w:sz w:val="20"/>
            <w:szCs w:val="20"/>
          </w:rPr>
          <w:t>https://twitter.com/GinaMartinAdams/status/1598431923294150656?cxt=HHwWgIC9mbHX4q4sAAAA</w:t>
        </w:r>
      </w:hyperlink>
    </w:p>
    <w:p w14:paraId="66776995" w14:textId="77777777" w:rsidR="00FA11C9" w:rsidRPr="00BA507A" w:rsidRDefault="00FA11C9" w:rsidP="00FA11C9">
      <w:pPr>
        <w:widowControl/>
        <w:tabs>
          <w:tab w:val="left" w:pos="720"/>
        </w:tabs>
        <w:suppressAutoHyphens w:val="0"/>
        <w:spacing w:before="60"/>
        <w:rPr>
          <w:b/>
          <w:bCs/>
        </w:rPr>
      </w:pPr>
      <w:r>
        <w:rPr>
          <w:b/>
          <w:bCs/>
        </w:rPr>
        <w:t xml:space="preserve">Investment </w:t>
      </w:r>
      <w:r w:rsidRPr="00BA507A">
        <w:rPr>
          <w:b/>
          <w:bCs/>
        </w:rPr>
        <w:t>Data</w:t>
      </w:r>
      <w:r>
        <w:rPr>
          <w:b/>
          <w:bCs/>
        </w:rPr>
        <w:t>:</w:t>
      </w:r>
    </w:p>
    <w:p w14:paraId="0E1A5FDC" w14:textId="77777777" w:rsidR="00FA11C9" w:rsidRDefault="00FA11C9" w:rsidP="00FA11C9">
      <w:pPr>
        <w:tabs>
          <w:tab w:val="left" w:pos="720"/>
        </w:tabs>
      </w:pPr>
      <w:r>
        <w:t>S&amp;P 500 index constituents since January 2000 until September 2022, categorized by Sector.</w:t>
      </w:r>
    </w:p>
    <w:p w14:paraId="24DC2F86" w14:textId="77777777" w:rsidR="00FA11C9" w:rsidRDefault="00FA11C9" w:rsidP="00FA11C9">
      <w:pPr>
        <w:widowControl/>
        <w:tabs>
          <w:tab w:val="left" w:pos="720"/>
        </w:tabs>
        <w:suppressAutoHyphens w:val="0"/>
        <w:spacing w:before="60"/>
        <w:rPr>
          <w:b/>
          <w:bCs/>
        </w:rPr>
      </w:pPr>
      <w:r>
        <w:rPr>
          <w:b/>
          <w:bCs/>
        </w:rPr>
        <w:t>Rules:</w:t>
      </w:r>
    </w:p>
    <w:p w14:paraId="2E17EECA" w14:textId="77777777" w:rsidR="00FA11C9" w:rsidRDefault="00FA11C9" w:rsidP="00FA11C9">
      <w:pPr>
        <w:pStyle w:val="ListParagraph"/>
        <w:numPr>
          <w:ilvl w:val="0"/>
          <w:numId w:val="17"/>
        </w:numPr>
        <w:tabs>
          <w:tab w:val="left" w:pos="720"/>
        </w:tabs>
        <w:spacing w:before="60"/>
      </w:pPr>
      <w:r>
        <w:t xml:space="preserve">Create </w:t>
      </w:r>
      <w:r w:rsidRPr="00B533C3">
        <w:t xml:space="preserve">four scores for all stocks in the </w:t>
      </w:r>
      <w:r>
        <w:t xml:space="preserve">S&amp;P 500 </w:t>
      </w:r>
      <w:r w:rsidRPr="00B533C3">
        <w:t>index -- momentum, value, volatility</w:t>
      </w:r>
      <w:r>
        <w:t>,</w:t>
      </w:r>
      <w:r w:rsidRPr="00B533C3">
        <w:t xml:space="preserve"> and profitability -- sector neutralize and equally weight </w:t>
      </w:r>
      <w:r>
        <w:t xml:space="preserve">each factor </w:t>
      </w:r>
      <w:r w:rsidRPr="00B533C3">
        <w:t>to derive overall rankings and select only the top 50 stocks for the portfolio</w:t>
      </w:r>
      <w:r>
        <w:t>.</w:t>
      </w:r>
    </w:p>
    <w:p w14:paraId="67307D51" w14:textId="77777777" w:rsidR="00FA11C9" w:rsidRDefault="00FA11C9" w:rsidP="00FA11C9">
      <w:pPr>
        <w:pStyle w:val="ListParagraph"/>
        <w:numPr>
          <w:ilvl w:val="0"/>
          <w:numId w:val="17"/>
        </w:numPr>
        <w:tabs>
          <w:tab w:val="left" w:pos="720"/>
        </w:tabs>
        <w:spacing w:before="60"/>
      </w:pPr>
      <w:r>
        <w:t>Rebalance every Quarter.</w:t>
      </w:r>
    </w:p>
    <w:p w14:paraId="4A4486A2" w14:textId="77777777" w:rsidR="00FA11C9" w:rsidRDefault="00FA11C9" w:rsidP="00FA11C9">
      <w:pPr>
        <w:widowControl/>
        <w:tabs>
          <w:tab w:val="left" w:pos="720"/>
        </w:tabs>
        <w:suppressAutoHyphens w:val="0"/>
        <w:spacing w:before="60"/>
        <w:rPr>
          <w:b/>
          <w:bCs/>
        </w:rPr>
      </w:pPr>
      <w:r>
        <w:rPr>
          <w:b/>
          <w:bCs/>
        </w:rPr>
        <w:t>Results:</w:t>
      </w:r>
    </w:p>
    <w:p w14:paraId="41EDD882" w14:textId="77777777" w:rsidR="00FA11C9" w:rsidRDefault="00FA11C9" w:rsidP="00FA11C9">
      <w:pPr>
        <w:widowControl/>
        <w:tabs>
          <w:tab w:val="left" w:pos="720"/>
        </w:tabs>
        <w:suppressAutoHyphens w:val="0"/>
        <w:spacing w:before="60"/>
      </w:pPr>
      <w:r>
        <w:t xml:space="preserve">The Bloomberg MVP model </w:t>
      </w:r>
      <w:r w:rsidRPr="00B533C3">
        <w:t>generated a 10.4% annualized return from January 200</w:t>
      </w:r>
      <w:r>
        <w:t>0 to S</w:t>
      </w:r>
      <w:r w:rsidRPr="00B533C3">
        <w:t>eptember 2022 vs. 6% for the S&amp;P 500 total return index with lower annualized volatility.</w:t>
      </w:r>
    </w:p>
    <w:p w14:paraId="5C97BD08" w14:textId="77777777" w:rsidR="00FA11C9" w:rsidRPr="005918B8" w:rsidRDefault="00FA11C9" w:rsidP="00FA11C9">
      <w:pPr>
        <w:widowControl/>
        <w:tabs>
          <w:tab w:val="left" w:pos="720"/>
        </w:tabs>
        <w:suppressAutoHyphens w:val="0"/>
        <w:spacing w:before="60"/>
      </w:pPr>
      <w:r w:rsidRPr="005918B8">
        <w:t>The Factors used in the Bloomberg MVP model are not explicitly stated but inferred as follows:</w:t>
      </w:r>
    </w:p>
    <w:p w14:paraId="443BB286" w14:textId="77777777" w:rsidR="00FA11C9" w:rsidRDefault="00FA11C9" w:rsidP="00FA11C9">
      <w:pPr>
        <w:pStyle w:val="ListParagraph"/>
        <w:numPr>
          <w:ilvl w:val="0"/>
          <w:numId w:val="18"/>
        </w:numPr>
        <w:tabs>
          <w:tab w:val="left" w:pos="720"/>
        </w:tabs>
        <w:spacing w:before="60"/>
      </w:pPr>
      <w:r>
        <w:t>Value:  Likely Sales-to-Price</w:t>
      </w:r>
    </w:p>
    <w:p w14:paraId="413C979F" w14:textId="77777777" w:rsidR="00FA11C9" w:rsidRDefault="00FA11C9" w:rsidP="00FA11C9">
      <w:pPr>
        <w:pStyle w:val="ListParagraph"/>
        <w:tabs>
          <w:tab w:val="left" w:pos="720"/>
        </w:tabs>
        <w:spacing w:before="60"/>
      </w:pPr>
      <w:r>
        <w:t>Source: “T</w:t>
      </w:r>
      <w:r w:rsidRPr="00154678">
        <w:t xml:space="preserve">he average </w:t>
      </w:r>
      <w:proofErr w:type="spellStart"/>
      <w:r w:rsidRPr="00154678">
        <w:t>Ebitda</w:t>
      </w:r>
      <w:proofErr w:type="spellEnd"/>
      <w:r w:rsidRPr="00154678">
        <w:t>/P</w:t>
      </w:r>
      <w:r>
        <w:t>rice</w:t>
      </w:r>
      <w:r w:rsidRPr="00154678">
        <w:t xml:space="preserve"> of MVPs (0.12) is about equal to that of an S&amp;P 500 stock (0.11), but sales-to-price is discounted by about 0.3 standard deviations.</w:t>
      </w:r>
      <w:r>
        <w:t>”</w:t>
      </w:r>
    </w:p>
    <w:p w14:paraId="4C91798A" w14:textId="77777777" w:rsidR="00FA11C9" w:rsidRDefault="00FA11C9" w:rsidP="00FA11C9">
      <w:pPr>
        <w:pStyle w:val="ListParagraph"/>
        <w:numPr>
          <w:ilvl w:val="0"/>
          <w:numId w:val="18"/>
        </w:numPr>
        <w:tabs>
          <w:tab w:val="left" w:pos="720"/>
        </w:tabs>
        <w:spacing w:before="60"/>
      </w:pPr>
      <w:r>
        <w:t xml:space="preserve">Quality:  Likely ROE </w:t>
      </w:r>
    </w:p>
    <w:p w14:paraId="03F0879E" w14:textId="77777777" w:rsidR="00FA11C9" w:rsidRDefault="00FA11C9" w:rsidP="00FA11C9">
      <w:pPr>
        <w:pStyle w:val="ListParagraph"/>
        <w:tabs>
          <w:tab w:val="left" w:pos="720"/>
        </w:tabs>
        <w:spacing w:before="60"/>
      </w:pPr>
      <w:r>
        <w:t>Source: “</w:t>
      </w:r>
      <w:r w:rsidRPr="00154678">
        <w:t>average ROE is about 1.4x higher than that of a typical S&amp;P 500 stock, and ROIC 1.2x greater.</w:t>
      </w:r>
    </w:p>
    <w:p w14:paraId="3D8F5BC4" w14:textId="77777777" w:rsidR="00FA11C9" w:rsidRDefault="00FA11C9" w:rsidP="00FA11C9">
      <w:pPr>
        <w:pStyle w:val="ListParagraph"/>
        <w:numPr>
          <w:ilvl w:val="0"/>
          <w:numId w:val="18"/>
        </w:numPr>
        <w:tabs>
          <w:tab w:val="left" w:pos="720"/>
        </w:tabs>
        <w:spacing w:before="60"/>
      </w:pPr>
      <w:r>
        <w:t>Low Volatility:  Likely 6 Month/126 Day Lookback</w:t>
      </w:r>
    </w:p>
    <w:p w14:paraId="3FC03DDA" w14:textId="77777777" w:rsidR="00FA11C9" w:rsidRDefault="00FA11C9" w:rsidP="00FA11C9">
      <w:pPr>
        <w:pStyle w:val="ListParagraph"/>
        <w:tabs>
          <w:tab w:val="left" w:pos="720"/>
        </w:tabs>
        <w:spacing w:before="60"/>
      </w:pPr>
      <w:r>
        <w:t xml:space="preserve">Source: Interpreted from a Bloomberg Chart showing difference between 6mo and 12mo volatility lookback. Additionally, academic research is stronger with </w:t>
      </w:r>
      <w:r w:rsidRPr="00154678">
        <w:t xml:space="preserve">the 6-month </w:t>
      </w:r>
      <w:r>
        <w:t xml:space="preserve">time </w:t>
      </w:r>
      <w:r w:rsidRPr="00154678">
        <w:t>horizon.</w:t>
      </w:r>
    </w:p>
    <w:p w14:paraId="4D11B141" w14:textId="77777777" w:rsidR="00FA11C9" w:rsidRDefault="00FA11C9" w:rsidP="00FA11C9">
      <w:pPr>
        <w:pStyle w:val="ListParagraph"/>
        <w:numPr>
          <w:ilvl w:val="0"/>
          <w:numId w:val="18"/>
        </w:numPr>
        <w:tabs>
          <w:tab w:val="left" w:pos="720"/>
        </w:tabs>
        <w:spacing w:before="60"/>
      </w:pPr>
      <w:r>
        <w:t xml:space="preserve">Momentum:  </w:t>
      </w:r>
      <w:r w:rsidRPr="004C6AA5">
        <w:t xml:space="preserve">6-Month </w:t>
      </w:r>
      <w:r>
        <w:t>Return, ignoring the most recent two weeks</w:t>
      </w:r>
    </w:p>
    <w:p w14:paraId="3AC9FB62" w14:textId="77777777" w:rsidR="00FA11C9" w:rsidRDefault="00FA11C9" w:rsidP="00FA11C9">
      <w:pPr>
        <w:pStyle w:val="ListParagraph"/>
        <w:tabs>
          <w:tab w:val="left" w:pos="720"/>
        </w:tabs>
        <w:spacing w:before="60"/>
      </w:pPr>
      <w:r>
        <w:t>Source: Stated by Michael Casper, Chris Cain’s colleague on January 13, 2023</w:t>
      </w:r>
    </w:p>
    <w:p w14:paraId="71BDA03C" w14:textId="77777777" w:rsidR="00FA11C9" w:rsidRDefault="00FA11C9" w:rsidP="00FA11C9">
      <w:pPr>
        <w:keepNext/>
        <w:widowControl/>
        <w:tabs>
          <w:tab w:val="left" w:pos="720"/>
        </w:tabs>
        <w:suppressAutoHyphens w:val="0"/>
        <w:spacing w:before="60"/>
      </w:pPr>
      <w:r>
        <w:rPr>
          <w:b/>
          <w:bCs/>
        </w:rPr>
        <w:t>Summary</w:t>
      </w:r>
      <w:r>
        <w:t>:</w:t>
      </w:r>
    </w:p>
    <w:p w14:paraId="12B9227F" w14:textId="77777777" w:rsidR="00FA11C9" w:rsidRPr="00BA1D36" w:rsidRDefault="00FA11C9" w:rsidP="00FA11C9">
      <w:pPr>
        <w:widowControl/>
        <w:tabs>
          <w:tab w:val="left" w:pos="720"/>
        </w:tabs>
        <w:suppressAutoHyphens w:val="0"/>
        <w:spacing w:before="60"/>
      </w:pPr>
      <w:r>
        <w:t>Taken at face value, the Bloomberg MVP model produces a 73.3% annualized improvement over 20+ years vs. the S&amp;P 500 with considerably less risk. In simpler terms, a theoretical $250k would have grown to $0.9M with the S&amp;P 500 and $1.8M in the model over the 20+ years.</w:t>
      </w:r>
      <w:r>
        <w:br w:type="page"/>
      </w:r>
    </w:p>
    <w:p w14:paraId="03AB4178" w14:textId="77777777" w:rsidR="00BF011B" w:rsidRPr="002D28B7" w:rsidRDefault="00BF011B" w:rsidP="00BF011B">
      <w:pPr>
        <w:pStyle w:val="Heading1"/>
        <w:numPr>
          <w:ilvl w:val="0"/>
          <w:numId w:val="23"/>
        </w:numPr>
        <w:tabs>
          <w:tab w:val="left" w:pos="720"/>
        </w:tabs>
        <w:spacing w:before="240"/>
        <w:ind w:left="0" w:hanging="540"/>
      </w:pPr>
      <w:r>
        <w:lastRenderedPageBreak/>
        <w:t>Results of Investment Models</w:t>
      </w:r>
    </w:p>
    <w:p w14:paraId="5BFB5103" w14:textId="77777777" w:rsidR="00BF011B" w:rsidRDefault="00BF011B" w:rsidP="00BF011B">
      <w:pPr>
        <w:pStyle w:val="Heading3"/>
        <w:tabs>
          <w:tab w:val="left" w:pos="720"/>
        </w:tabs>
      </w:pPr>
      <w:r>
        <w:t>AQR</w:t>
      </w:r>
    </w:p>
    <w:p w14:paraId="535FD7AD" w14:textId="77777777" w:rsidR="00BF011B" w:rsidRPr="004610F2" w:rsidRDefault="00BF011B" w:rsidP="00BF011B">
      <w:pPr>
        <w:pStyle w:val="BodyText"/>
        <w:tabs>
          <w:tab w:val="left" w:pos="720"/>
        </w:tabs>
      </w:pPr>
      <w:proofErr w:type="spellStart"/>
      <w:r>
        <w:t>adsflkjasdflkajdf</w:t>
      </w:r>
      <w:proofErr w:type="spellEnd"/>
    </w:p>
    <w:p w14:paraId="1EE1DDCB" w14:textId="77777777" w:rsidR="00BF011B" w:rsidRPr="002D28B7" w:rsidRDefault="00BF011B" w:rsidP="00BF011B">
      <w:pPr>
        <w:pStyle w:val="Heading3"/>
        <w:tabs>
          <w:tab w:val="left" w:pos="720"/>
        </w:tabs>
      </w:pPr>
      <w:r w:rsidRPr="002D28B7">
        <w:t>Q</w:t>
      </w:r>
      <w:r>
        <w:t xml:space="preserve">uantamentals: </w:t>
      </w:r>
      <w:r w:rsidRPr="002D28B7">
        <w:t>Cain</w:t>
      </w:r>
      <w:r>
        <w:t>,</w:t>
      </w:r>
      <w:r w:rsidRPr="002D28B7">
        <w:t xml:space="preserve"> et al (2020) </w:t>
      </w:r>
    </w:p>
    <w:p w14:paraId="5A067555" w14:textId="77777777" w:rsidR="00BF011B" w:rsidRDefault="00BF011B" w:rsidP="00BF011B">
      <w:pPr>
        <w:tabs>
          <w:tab w:val="left" w:pos="720"/>
        </w:tabs>
      </w:pPr>
      <w:r>
        <w:t>Based on the Fama French perspective</w:t>
      </w:r>
    </w:p>
    <w:p w14:paraId="44D02DBF" w14:textId="77777777" w:rsidR="00BF011B" w:rsidRDefault="00BF011B" w:rsidP="00BF011B">
      <w:pPr>
        <w:tabs>
          <w:tab w:val="left" w:pos="720"/>
        </w:tabs>
        <w:jc w:val="center"/>
      </w:pPr>
      <w:r>
        <w:t xml:space="preserve">High Stock Return = Low Volatility + High Value + High </w:t>
      </w:r>
      <w:r w:rsidRPr="00CC3D62">
        <w:rPr>
          <w:rFonts w:asciiTheme="minorHAnsi" w:hAnsiTheme="minorHAnsi" w:cstheme="minorHAnsi"/>
        </w:rPr>
        <w:t>Profitability</w:t>
      </w:r>
      <w:r>
        <w:rPr>
          <w:rFonts w:asciiTheme="minorHAnsi" w:hAnsiTheme="minorHAnsi" w:cstheme="minorHAnsi"/>
        </w:rPr>
        <w:t xml:space="preserve"> </w:t>
      </w:r>
      <w:r>
        <w:t>+ High Momentum</w:t>
      </w:r>
    </w:p>
    <w:p w14:paraId="0177D97F" w14:textId="77777777" w:rsidR="00BF011B" w:rsidRDefault="00BF011B" w:rsidP="00BF011B">
      <w:pPr>
        <w:tabs>
          <w:tab w:val="left" w:pos="720"/>
        </w:tabs>
        <w:spacing w:before="60"/>
      </w:pPr>
      <w:r>
        <w:t>Where:</w:t>
      </w:r>
    </w:p>
    <w:p w14:paraId="6DDFA032" w14:textId="77777777" w:rsidR="00BF011B" w:rsidRDefault="00BF011B" w:rsidP="00BF011B">
      <w:pPr>
        <w:pStyle w:val="ListParagraph"/>
        <w:numPr>
          <w:ilvl w:val="0"/>
          <w:numId w:val="18"/>
        </w:numPr>
        <w:tabs>
          <w:tab w:val="left" w:pos="720"/>
        </w:tabs>
        <w:spacing w:before="60"/>
      </w:pPr>
      <w:r>
        <w:t>Value:  Earnings Before Interest and Taxes / Enterprise Value</w:t>
      </w:r>
    </w:p>
    <w:p w14:paraId="37118DCF" w14:textId="77777777" w:rsidR="00BF011B" w:rsidRDefault="00BF011B" w:rsidP="00BF011B">
      <w:pPr>
        <w:pStyle w:val="ListParagraph"/>
        <w:numPr>
          <w:ilvl w:val="0"/>
          <w:numId w:val="18"/>
        </w:numPr>
        <w:tabs>
          <w:tab w:val="left" w:pos="720"/>
        </w:tabs>
        <w:spacing w:before="60"/>
      </w:pPr>
      <w:r>
        <w:t xml:space="preserve">Quality:  Return on Invested Capital </w:t>
      </w:r>
    </w:p>
    <w:p w14:paraId="377A15F1" w14:textId="77777777" w:rsidR="00BF011B" w:rsidRDefault="00BF011B" w:rsidP="00BF011B">
      <w:pPr>
        <w:pStyle w:val="ListParagraph"/>
        <w:numPr>
          <w:ilvl w:val="0"/>
          <w:numId w:val="18"/>
        </w:numPr>
        <w:tabs>
          <w:tab w:val="left" w:pos="720"/>
        </w:tabs>
        <w:spacing w:before="60"/>
      </w:pPr>
      <w:r>
        <w:t>Low Volatility:  100-Day Lookback</w:t>
      </w:r>
    </w:p>
    <w:p w14:paraId="61A88CED" w14:textId="77777777" w:rsidR="00BF011B" w:rsidRDefault="00BF011B" w:rsidP="00BF011B">
      <w:pPr>
        <w:pStyle w:val="ListParagraph"/>
        <w:numPr>
          <w:ilvl w:val="0"/>
          <w:numId w:val="18"/>
        </w:numPr>
        <w:tabs>
          <w:tab w:val="left" w:pos="720"/>
        </w:tabs>
        <w:spacing w:before="60"/>
      </w:pPr>
      <w:r>
        <w:t xml:space="preserve">Momentum:  </w:t>
      </w:r>
      <w:r w:rsidRPr="004C6AA5">
        <w:t xml:space="preserve">6-Month </w:t>
      </w:r>
      <w:r>
        <w:t>Return, ignoring the most recent month. It is unclear if Cain is using a total of 6 months of returns (starting 7 months ago, ending 1 month ago) or 5 months of returns (starting 6 months ago, ending 1 month ago)</w:t>
      </w:r>
    </w:p>
    <w:p w14:paraId="1A3339CA" w14:textId="77777777" w:rsidR="00BF011B" w:rsidRPr="002D28B7" w:rsidRDefault="00BF011B" w:rsidP="00BF011B">
      <w:pPr>
        <w:pStyle w:val="Heading3"/>
        <w:tabs>
          <w:tab w:val="left" w:pos="720"/>
        </w:tabs>
      </w:pPr>
      <w:r>
        <w:t xml:space="preserve">Bloomberg Top 50: </w:t>
      </w:r>
      <w:r w:rsidRPr="002D28B7">
        <w:t>Cain</w:t>
      </w:r>
      <w:r>
        <w:t>,</w:t>
      </w:r>
      <w:r w:rsidRPr="002D28B7">
        <w:t xml:space="preserve"> et al (202</w:t>
      </w:r>
      <w:r>
        <w:t>2</w:t>
      </w:r>
      <w:r w:rsidRPr="002D28B7">
        <w:t xml:space="preserve">) </w:t>
      </w:r>
    </w:p>
    <w:p w14:paraId="3A3CBE1E" w14:textId="77777777" w:rsidR="00BF011B" w:rsidRDefault="00BF011B" w:rsidP="00BF011B">
      <w:pPr>
        <w:tabs>
          <w:tab w:val="left" w:pos="720"/>
        </w:tabs>
      </w:pPr>
      <w:r>
        <w:t>Based on the Fama French perspective</w:t>
      </w:r>
    </w:p>
    <w:p w14:paraId="47566688" w14:textId="77777777" w:rsidR="00BF011B" w:rsidRDefault="00BF011B" w:rsidP="00BF011B">
      <w:pPr>
        <w:tabs>
          <w:tab w:val="left" w:pos="720"/>
        </w:tabs>
        <w:jc w:val="center"/>
      </w:pPr>
      <w:r>
        <w:t xml:space="preserve">High Stock Return = Low Volatility + High Value + High </w:t>
      </w:r>
      <w:r w:rsidRPr="00CC3D62">
        <w:rPr>
          <w:rFonts w:asciiTheme="minorHAnsi" w:hAnsiTheme="minorHAnsi" w:cstheme="minorHAnsi"/>
        </w:rPr>
        <w:t>Profitability</w:t>
      </w:r>
      <w:r>
        <w:rPr>
          <w:rFonts w:asciiTheme="minorHAnsi" w:hAnsiTheme="minorHAnsi" w:cstheme="minorHAnsi"/>
        </w:rPr>
        <w:t xml:space="preserve"> </w:t>
      </w:r>
      <w:r>
        <w:t>+ High Momentum + Sector Balanced</w:t>
      </w:r>
    </w:p>
    <w:p w14:paraId="58A83CE2" w14:textId="77777777" w:rsidR="00BF011B" w:rsidRDefault="00BF011B" w:rsidP="00BF011B">
      <w:pPr>
        <w:tabs>
          <w:tab w:val="left" w:pos="720"/>
        </w:tabs>
        <w:spacing w:before="60"/>
      </w:pPr>
      <w:r>
        <w:t>Where:</w:t>
      </w:r>
    </w:p>
    <w:p w14:paraId="49347CE6" w14:textId="77777777" w:rsidR="00BF011B" w:rsidRDefault="00BF011B" w:rsidP="00BF011B">
      <w:pPr>
        <w:pStyle w:val="ListParagraph"/>
        <w:numPr>
          <w:ilvl w:val="0"/>
          <w:numId w:val="18"/>
        </w:numPr>
        <w:tabs>
          <w:tab w:val="left" w:pos="720"/>
        </w:tabs>
        <w:spacing w:before="60"/>
      </w:pPr>
      <w:r>
        <w:t>Value:  Likely Sales-to-Price</w:t>
      </w:r>
    </w:p>
    <w:p w14:paraId="7DA85260" w14:textId="77777777" w:rsidR="00BF011B" w:rsidRDefault="00BF011B" w:rsidP="00BF011B">
      <w:pPr>
        <w:pStyle w:val="ListParagraph"/>
        <w:numPr>
          <w:ilvl w:val="0"/>
          <w:numId w:val="18"/>
        </w:numPr>
        <w:tabs>
          <w:tab w:val="left" w:pos="720"/>
        </w:tabs>
        <w:spacing w:before="60"/>
      </w:pPr>
      <w:r>
        <w:t xml:space="preserve">Quality:  Likely ROE </w:t>
      </w:r>
    </w:p>
    <w:p w14:paraId="3D6D3060" w14:textId="77777777" w:rsidR="00BF011B" w:rsidRDefault="00BF011B" w:rsidP="00BF011B">
      <w:pPr>
        <w:pStyle w:val="ListParagraph"/>
        <w:numPr>
          <w:ilvl w:val="0"/>
          <w:numId w:val="18"/>
        </w:numPr>
        <w:tabs>
          <w:tab w:val="left" w:pos="720"/>
        </w:tabs>
        <w:spacing w:before="60"/>
      </w:pPr>
      <w:r>
        <w:t>Low Volatility:  Likely 6 Month / 126 Day Lookback</w:t>
      </w:r>
    </w:p>
    <w:p w14:paraId="20E5A453" w14:textId="77777777" w:rsidR="00BF011B" w:rsidRDefault="00BF011B" w:rsidP="00BF011B">
      <w:pPr>
        <w:pStyle w:val="ListParagraph"/>
        <w:numPr>
          <w:ilvl w:val="0"/>
          <w:numId w:val="18"/>
        </w:numPr>
        <w:tabs>
          <w:tab w:val="left" w:pos="720"/>
        </w:tabs>
        <w:spacing w:before="60"/>
      </w:pPr>
      <w:r>
        <w:t xml:space="preserve">Momentum:  </w:t>
      </w:r>
      <w:r w:rsidRPr="004C6AA5">
        <w:t xml:space="preserve">6-Month </w:t>
      </w:r>
      <w:r>
        <w:t>Return, ignoring the most recent two weeks</w:t>
      </w:r>
    </w:p>
    <w:p w14:paraId="4DA04114" w14:textId="318C7DC9" w:rsidR="00CC699B" w:rsidRDefault="00CC699B" w:rsidP="00796125">
      <w:pPr>
        <w:pStyle w:val="Heading1"/>
        <w:numPr>
          <w:ilvl w:val="0"/>
          <w:numId w:val="23"/>
        </w:numPr>
        <w:tabs>
          <w:tab w:val="left" w:pos="720"/>
        </w:tabs>
        <w:spacing w:before="240"/>
        <w:ind w:left="0" w:hanging="540"/>
      </w:pPr>
      <w:r>
        <w:t>Hempel Wealth Management Top 50 Portfolio</w:t>
      </w:r>
    </w:p>
    <w:p w14:paraId="3064218D" w14:textId="77777777" w:rsidR="00BF011B" w:rsidRDefault="00BF011B" w:rsidP="00BF011B">
      <w:pPr>
        <w:pStyle w:val="Heading3"/>
        <w:tabs>
          <w:tab w:val="left" w:pos="720"/>
        </w:tabs>
      </w:pPr>
      <w:r>
        <w:t>Hempel Wealth Top 50 - Candidate 1:</w:t>
      </w:r>
    </w:p>
    <w:p w14:paraId="0C67E1A9" w14:textId="77777777" w:rsidR="00BF011B" w:rsidRPr="003E720D" w:rsidRDefault="00BF011B" w:rsidP="00BF011B">
      <w:pPr>
        <w:pStyle w:val="BodyText"/>
        <w:tabs>
          <w:tab w:val="left" w:pos="720"/>
        </w:tabs>
      </w:pPr>
      <w:r>
        <w:t>Based on the Fama French perspective, replicating the Bloomberg/Cain Model</w:t>
      </w:r>
    </w:p>
    <w:p w14:paraId="0848D628" w14:textId="77777777" w:rsidR="00BF011B" w:rsidRDefault="00BF011B" w:rsidP="00BF011B">
      <w:pPr>
        <w:tabs>
          <w:tab w:val="left" w:pos="720"/>
        </w:tabs>
        <w:jc w:val="center"/>
      </w:pPr>
      <w:r w:rsidRPr="00F068A1">
        <w:rPr>
          <w:b/>
          <w:bCs/>
        </w:rPr>
        <w:t xml:space="preserve">HW </w:t>
      </w:r>
      <w:r>
        <w:rPr>
          <w:b/>
          <w:bCs/>
        </w:rPr>
        <w:t>candidate 1</w:t>
      </w:r>
      <w:r w:rsidRPr="00F068A1">
        <w:rPr>
          <w:b/>
          <w:bCs/>
        </w:rPr>
        <w:t xml:space="preserve">: </w:t>
      </w:r>
      <w:r>
        <w:t xml:space="preserve">High Stock Return = Low Volatility + High Value + High </w:t>
      </w:r>
      <w:r w:rsidRPr="00CC3D62">
        <w:rPr>
          <w:rFonts w:asciiTheme="minorHAnsi" w:hAnsiTheme="minorHAnsi" w:cstheme="minorHAnsi"/>
        </w:rPr>
        <w:t>Profitability</w:t>
      </w:r>
      <w:r>
        <w:rPr>
          <w:rFonts w:asciiTheme="minorHAnsi" w:hAnsiTheme="minorHAnsi" w:cstheme="minorHAnsi"/>
        </w:rPr>
        <w:t xml:space="preserve"> </w:t>
      </w:r>
      <w:r>
        <w:t>+ High Momentum + Sector Balanced</w:t>
      </w:r>
    </w:p>
    <w:p w14:paraId="6D4C7420" w14:textId="77777777" w:rsidR="00BF011B" w:rsidRPr="009F12EF" w:rsidRDefault="00BF011B" w:rsidP="00BF011B">
      <w:pPr>
        <w:pStyle w:val="Heading3"/>
        <w:tabs>
          <w:tab w:val="left" w:pos="720"/>
        </w:tabs>
      </w:pPr>
      <w:r w:rsidRPr="009F12EF">
        <w:t xml:space="preserve">Hempel Wealth Top 50 - Candidate </w:t>
      </w:r>
      <w:r>
        <w:t>2:</w:t>
      </w:r>
    </w:p>
    <w:p w14:paraId="290FE74A" w14:textId="77777777" w:rsidR="00BF011B" w:rsidRPr="003E720D" w:rsidRDefault="00BF011B" w:rsidP="00BF011B">
      <w:pPr>
        <w:pStyle w:val="BodyText"/>
        <w:tabs>
          <w:tab w:val="left" w:pos="720"/>
        </w:tabs>
      </w:pPr>
      <w:r>
        <w:t>Based on the Fama French perspective, replicating the Bloomberg/Cain Model, but using Zhang definition of Profitability</w:t>
      </w:r>
    </w:p>
    <w:p w14:paraId="6228B881" w14:textId="77777777" w:rsidR="00BF011B" w:rsidRDefault="00BF011B" w:rsidP="00BF011B">
      <w:pPr>
        <w:tabs>
          <w:tab w:val="left" w:pos="720"/>
        </w:tabs>
        <w:jc w:val="center"/>
      </w:pPr>
      <w:r w:rsidRPr="009F12EF">
        <w:rPr>
          <w:b/>
          <w:bCs/>
        </w:rPr>
        <w:t xml:space="preserve">HW </w:t>
      </w:r>
      <w:r>
        <w:rPr>
          <w:b/>
          <w:bCs/>
        </w:rPr>
        <w:t>candidate 2</w:t>
      </w:r>
      <w:r w:rsidRPr="009F12EF">
        <w:rPr>
          <w:b/>
          <w:bCs/>
        </w:rPr>
        <w:t xml:space="preserve">: </w:t>
      </w:r>
      <w:r w:rsidRPr="009F12EF">
        <w:t>High Stock Return = Low Volatility + High Value</w:t>
      </w:r>
      <w:r>
        <w:t xml:space="preserve"> {FF}</w:t>
      </w:r>
      <w:r w:rsidRPr="009F12EF">
        <w:t xml:space="preserve"> + High </w:t>
      </w:r>
      <w:r w:rsidRPr="009F12EF">
        <w:rPr>
          <w:rFonts w:asciiTheme="minorHAnsi" w:hAnsiTheme="minorHAnsi" w:cstheme="minorHAnsi"/>
        </w:rPr>
        <w:t xml:space="preserve">Profitability </w:t>
      </w:r>
      <w:r>
        <w:t>{Zhang}</w:t>
      </w:r>
      <w:r w:rsidRPr="009F12EF">
        <w:t>+ High Momentum + Sector Balanced</w:t>
      </w:r>
    </w:p>
    <w:p w14:paraId="4F3B16A9" w14:textId="77777777" w:rsidR="00BF011B" w:rsidRPr="009F12EF" w:rsidRDefault="00BF011B" w:rsidP="00BF011B">
      <w:pPr>
        <w:pStyle w:val="Heading3"/>
        <w:tabs>
          <w:tab w:val="left" w:pos="720"/>
        </w:tabs>
      </w:pPr>
      <w:r w:rsidRPr="009F12EF">
        <w:t xml:space="preserve">Hempel Wealth Top 50 - Candidate </w:t>
      </w:r>
      <w:r>
        <w:t>3:</w:t>
      </w:r>
    </w:p>
    <w:p w14:paraId="28E13D85" w14:textId="77777777" w:rsidR="00BF011B" w:rsidRPr="003E720D" w:rsidRDefault="00BF011B" w:rsidP="00BF011B">
      <w:pPr>
        <w:pStyle w:val="BodyText"/>
        <w:tabs>
          <w:tab w:val="left" w:pos="720"/>
        </w:tabs>
      </w:pPr>
      <w:r>
        <w:t>Based on the Fama French perspective, replicating the Bloomberg/Cain Model, but using a combination of Factors definition</w:t>
      </w:r>
    </w:p>
    <w:p w14:paraId="6401CEE9" w14:textId="77777777" w:rsidR="00BF011B" w:rsidRDefault="00BF011B" w:rsidP="00BF011B">
      <w:pPr>
        <w:tabs>
          <w:tab w:val="left" w:pos="720"/>
        </w:tabs>
        <w:jc w:val="center"/>
      </w:pPr>
      <w:r w:rsidRPr="009F12EF">
        <w:rPr>
          <w:b/>
          <w:bCs/>
        </w:rPr>
        <w:t xml:space="preserve">HW </w:t>
      </w:r>
      <w:r>
        <w:rPr>
          <w:b/>
          <w:bCs/>
        </w:rPr>
        <w:t>candidate 3</w:t>
      </w:r>
      <w:r w:rsidRPr="009F12EF">
        <w:rPr>
          <w:b/>
          <w:bCs/>
        </w:rPr>
        <w:t xml:space="preserve">: </w:t>
      </w:r>
      <w:r w:rsidRPr="009F12EF">
        <w:t>High Stock Return = Low Volatility + High Value</w:t>
      </w:r>
      <w:r>
        <w:t xml:space="preserve"> {multi-sub-factor}</w:t>
      </w:r>
      <w:r w:rsidRPr="009F12EF">
        <w:t xml:space="preserve"> + High </w:t>
      </w:r>
      <w:r w:rsidRPr="009F12EF">
        <w:rPr>
          <w:rFonts w:asciiTheme="minorHAnsi" w:hAnsiTheme="minorHAnsi" w:cstheme="minorHAnsi"/>
        </w:rPr>
        <w:t xml:space="preserve">Profitability </w:t>
      </w:r>
      <w:r>
        <w:t xml:space="preserve">{multi-sub-factor} + </w:t>
      </w:r>
      <w:r w:rsidRPr="009F12EF">
        <w:t>High Momentum + Sector Balanced</w:t>
      </w:r>
    </w:p>
    <w:p w14:paraId="346BB84E" w14:textId="77777777" w:rsidR="00BF011B" w:rsidRPr="009F12EF" w:rsidRDefault="00BF011B" w:rsidP="00BF011B">
      <w:pPr>
        <w:pStyle w:val="Heading3"/>
        <w:tabs>
          <w:tab w:val="left" w:pos="720"/>
        </w:tabs>
      </w:pPr>
      <w:r w:rsidRPr="009F12EF">
        <w:lastRenderedPageBreak/>
        <w:t xml:space="preserve">Hempel Wealth Top 50 - Candidate </w:t>
      </w:r>
      <w:r>
        <w:t>4</w:t>
      </w:r>
    </w:p>
    <w:p w14:paraId="238A6540" w14:textId="77777777" w:rsidR="00BF011B" w:rsidRPr="003E720D" w:rsidRDefault="00BF011B" w:rsidP="00BF011B">
      <w:pPr>
        <w:pStyle w:val="BodyText"/>
        <w:tabs>
          <w:tab w:val="left" w:pos="720"/>
        </w:tabs>
      </w:pPr>
      <w:r>
        <w:t>Zhang’s latest research q-factor perspective, meaning dropping Value and adding investment factor in its place.</w:t>
      </w:r>
    </w:p>
    <w:p w14:paraId="0F5B04B8" w14:textId="77777777" w:rsidR="00BF011B" w:rsidRDefault="00BF011B" w:rsidP="00BF011B">
      <w:pPr>
        <w:tabs>
          <w:tab w:val="left" w:pos="720"/>
        </w:tabs>
        <w:jc w:val="center"/>
      </w:pPr>
      <w:r w:rsidRPr="009F12EF">
        <w:rPr>
          <w:b/>
          <w:bCs/>
        </w:rPr>
        <w:t xml:space="preserve">HW </w:t>
      </w:r>
      <w:r>
        <w:rPr>
          <w:b/>
          <w:bCs/>
        </w:rPr>
        <w:t>candidate 4</w:t>
      </w:r>
      <w:r w:rsidRPr="00F068A1">
        <w:rPr>
          <w:b/>
          <w:bCs/>
        </w:rPr>
        <w:t xml:space="preserve">: </w:t>
      </w:r>
      <w:r>
        <w:t xml:space="preserve">High Stock Return </w:t>
      </w:r>
      <w:r w:rsidRPr="00CC3D62">
        <w:rPr>
          <w:rFonts w:asciiTheme="minorHAnsi" w:hAnsiTheme="minorHAnsi" w:cstheme="minorHAnsi"/>
        </w:rPr>
        <w:t>= Market + Size + Profitability</w:t>
      </w:r>
      <w:r>
        <w:rPr>
          <w:rFonts w:asciiTheme="minorHAnsi" w:hAnsiTheme="minorHAnsi" w:cstheme="minorHAnsi"/>
        </w:rPr>
        <w:t xml:space="preserve"> +</w:t>
      </w:r>
      <w:r w:rsidRPr="001C56C7">
        <w:rPr>
          <w:rFonts w:asciiTheme="minorHAnsi" w:hAnsiTheme="minorHAnsi" w:cstheme="minorHAnsi"/>
        </w:rPr>
        <w:t xml:space="preserve"> </w:t>
      </w:r>
      <w:r>
        <w:rPr>
          <w:rFonts w:asciiTheme="minorHAnsi" w:hAnsiTheme="minorHAnsi" w:cstheme="minorHAnsi"/>
        </w:rPr>
        <w:t xml:space="preserve">Conservative </w:t>
      </w:r>
      <w:r w:rsidRPr="00CC3D62">
        <w:rPr>
          <w:rFonts w:asciiTheme="minorHAnsi" w:hAnsiTheme="minorHAnsi" w:cstheme="minorHAnsi"/>
        </w:rPr>
        <w:t>Investment</w:t>
      </w:r>
      <w:r>
        <w:t xml:space="preserve"> + E</w:t>
      </w:r>
      <w:r w:rsidRPr="001C56C7">
        <w:t xml:space="preserve">xpected </w:t>
      </w:r>
      <w:r>
        <w:t>G</w:t>
      </w:r>
      <w:r w:rsidRPr="001C56C7">
        <w:t xml:space="preserve">rowth </w:t>
      </w:r>
      <w:r>
        <w:t>F</w:t>
      </w:r>
      <w:r w:rsidRPr="001C56C7">
        <w:t>actor</w:t>
      </w:r>
    </w:p>
    <w:p w14:paraId="31D0D0B9" w14:textId="77777777" w:rsidR="00BF011B" w:rsidRDefault="00BF011B" w:rsidP="00BF011B">
      <w:pPr>
        <w:pStyle w:val="Heading3"/>
        <w:tabs>
          <w:tab w:val="left" w:pos="720"/>
        </w:tabs>
      </w:pPr>
      <w:r>
        <w:t>Hempel Wealth Top 50 - Candidate 5:</w:t>
      </w:r>
    </w:p>
    <w:p w14:paraId="32E426CB" w14:textId="77777777" w:rsidR="00BF011B" w:rsidRPr="003E720D" w:rsidRDefault="00BF011B" w:rsidP="00BF011B">
      <w:pPr>
        <w:pStyle w:val="BodyText"/>
        <w:tabs>
          <w:tab w:val="left" w:pos="720"/>
        </w:tabs>
      </w:pPr>
      <w:r>
        <w:t>Zhang’s latest research q-factor perspective, meaning dropping Value and adding investment factor in its place. Sector neutralized.</w:t>
      </w:r>
    </w:p>
    <w:p w14:paraId="75B10E90" w14:textId="77777777" w:rsidR="00BF011B" w:rsidRDefault="00BF011B" w:rsidP="00BF011B">
      <w:pPr>
        <w:tabs>
          <w:tab w:val="left" w:pos="720"/>
        </w:tabs>
        <w:jc w:val="center"/>
      </w:pPr>
      <w:r w:rsidRPr="009F12EF">
        <w:rPr>
          <w:b/>
          <w:bCs/>
        </w:rPr>
        <w:t xml:space="preserve">HW </w:t>
      </w:r>
      <w:r>
        <w:rPr>
          <w:b/>
          <w:bCs/>
        </w:rPr>
        <w:t>candidate 5</w:t>
      </w:r>
      <w:r w:rsidRPr="00F068A1">
        <w:rPr>
          <w:b/>
          <w:bCs/>
        </w:rPr>
        <w:t xml:space="preserve">: </w:t>
      </w:r>
      <w:r>
        <w:t xml:space="preserve">High Stock Return </w:t>
      </w:r>
      <w:r w:rsidRPr="00CC3D62">
        <w:rPr>
          <w:rFonts w:asciiTheme="minorHAnsi" w:hAnsiTheme="minorHAnsi" w:cstheme="minorHAnsi"/>
        </w:rPr>
        <w:t>= Market + Size + Profitability</w:t>
      </w:r>
      <w:r>
        <w:rPr>
          <w:rFonts w:asciiTheme="minorHAnsi" w:hAnsiTheme="minorHAnsi" w:cstheme="minorHAnsi"/>
        </w:rPr>
        <w:t xml:space="preserve"> +</w:t>
      </w:r>
      <w:r w:rsidRPr="001C56C7">
        <w:rPr>
          <w:rFonts w:asciiTheme="minorHAnsi" w:hAnsiTheme="minorHAnsi" w:cstheme="minorHAnsi"/>
        </w:rPr>
        <w:t xml:space="preserve"> </w:t>
      </w:r>
      <w:r>
        <w:rPr>
          <w:rFonts w:asciiTheme="minorHAnsi" w:hAnsiTheme="minorHAnsi" w:cstheme="minorHAnsi"/>
        </w:rPr>
        <w:t xml:space="preserve">Conservative </w:t>
      </w:r>
      <w:r w:rsidRPr="00CC3D62">
        <w:rPr>
          <w:rFonts w:asciiTheme="minorHAnsi" w:hAnsiTheme="minorHAnsi" w:cstheme="minorHAnsi"/>
        </w:rPr>
        <w:t>Investment</w:t>
      </w:r>
      <w:r>
        <w:t xml:space="preserve"> + E</w:t>
      </w:r>
      <w:r w:rsidRPr="001C56C7">
        <w:t xml:space="preserve">xpected </w:t>
      </w:r>
      <w:r>
        <w:t>G</w:t>
      </w:r>
      <w:r w:rsidRPr="001C56C7">
        <w:t xml:space="preserve">rowth </w:t>
      </w:r>
      <w:r>
        <w:t>F</w:t>
      </w:r>
      <w:r w:rsidRPr="001C56C7">
        <w:t>actor</w:t>
      </w:r>
      <w:r>
        <w:t xml:space="preserve"> + Sector Balanced</w:t>
      </w:r>
    </w:p>
    <w:p w14:paraId="3544EDD0" w14:textId="77777777" w:rsidR="00BF011B" w:rsidRDefault="00BF011B" w:rsidP="00796125">
      <w:pPr>
        <w:widowControl/>
        <w:tabs>
          <w:tab w:val="left" w:pos="720"/>
        </w:tabs>
        <w:suppressAutoHyphens w:val="0"/>
        <w:spacing w:before="60"/>
      </w:pPr>
    </w:p>
    <w:p w14:paraId="17ED8A6A" w14:textId="077F2F44" w:rsidR="00CC699B" w:rsidRDefault="00CC699B" w:rsidP="00796125">
      <w:pPr>
        <w:widowControl/>
        <w:tabs>
          <w:tab w:val="left" w:pos="720"/>
        </w:tabs>
        <w:suppressAutoHyphens w:val="0"/>
        <w:spacing w:before="60"/>
      </w:pPr>
      <w:r>
        <w:t>Over the past month, I have built a prototype Top 50 Portfolio that has been able to reproduce significant market outperformance from January 2015 to January 2023 using the rules described above in the Bloomberg MVP Portfolio. The results are mind blowing.</w:t>
      </w:r>
    </w:p>
    <w:p w14:paraId="0EE3B870" w14:textId="77777777" w:rsidR="00CC699B" w:rsidRPr="0055132F" w:rsidRDefault="00CC699B" w:rsidP="00796125">
      <w:pPr>
        <w:widowControl/>
        <w:tabs>
          <w:tab w:val="left" w:pos="720"/>
        </w:tabs>
        <w:suppressAutoHyphens w:val="0"/>
        <w:spacing w:before="60"/>
        <w:rPr>
          <w:b/>
          <w:bCs/>
        </w:rPr>
      </w:pPr>
      <w:r w:rsidRPr="0055132F">
        <w:rPr>
          <w:b/>
          <w:bCs/>
        </w:rPr>
        <w:t xml:space="preserve">Successes </w:t>
      </w:r>
      <w:r>
        <w:rPr>
          <w:b/>
          <w:bCs/>
        </w:rPr>
        <w:t xml:space="preserve">&amp; </w:t>
      </w:r>
      <w:r w:rsidRPr="0055132F">
        <w:rPr>
          <w:b/>
          <w:bCs/>
        </w:rPr>
        <w:t>Roadblocks</w:t>
      </w:r>
    </w:p>
    <w:p w14:paraId="51274F71" w14:textId="77777777" w:rsidR="00CC699B" w:rsidRPr="001D65B4" w:rsidRDefault="00CC699B" w:rsidP="00796125">
      <w:pPr>
        <w:widowControl/>
        <w:tabs>
          <w:tab w:val="left" w:pos="720"/>
        </w:tabs>
        <w:suppressAutoHyphens w:val="0"/>
        <w:spacing w:before="60"/>
      </w:pPr>
      <w:r>
        <w:t>I do not have a Bloomberg Terminal subscription, as they cost $30,000 per year, instead I have a subscription to Refinitiv, one of Bloomberg’s chief competitors, that has provided the data on all the stocks in the S&amp;P 500 since January 1, 2000, along with their price history and financials.</w:t>
      </w:r>
    </w:p>
    <w:p w14:paraId="6C1F8913" w14:textId="77777777" w:rsidR="00CC699B" w:rsidRDefault="00CC699B" w:rsidP="00796125">
      <w:pPr>
        <w:widowControl/>
        <w:tabs>
          <w:tab w:val="left" w:pos="720"/>
        </w:tabs>
        <w:suppressAutoHyphens w:val="0"/>
        <w:spacing w:before="60"/>
      </w:pPr>
      <w:r>
        <w:t>The Bloomberg MVP model also uses Sector information (Tech, Utilities, Energy, etc.) to maintain an equal exposure to the index, meaning the Bloomberg MVP Model does not swing from 100% utilities to 100% tech when it rebalances.</w:t>
      </w:r>
      <w:r w:rsidRPr="001D65B4">
        <w:t xml:space="preserve"> </w:t>
      </w:r>
      <w:r>
        <w:t>Unfortunately, the historical Sector information from S&amp;P costs $8,000. A Director at S&amp;P Global is looking at if they can give me a discount for being a small firm, but it didn’t appear likely. As a workaround, I have been able to obtain Sector data going back to January 2015.</w:t>
      </w:r>
    </w:p>
    <w:p w14:paraId="10DA94BE" w14:textId="77777777" w:rsidR="00CC699B" w:rsidRPr="008E0442" w:rsidRDefault="00CC699B" w:rsidP="00796125">
      <w:pPr>
        <w:widowControl/>
        <w:tabs>
          <w:tab w:val="left" w:pos="720"/>
        </w:tabs>
        <w:suppressAutoHyphens w:val="0"/>
        <w:spacing w:before="60"/>
        <w:rPr>
          <w:b/>
          <w:bCs/>
        </w:rPr>
      </w:pPr>
      <w:r w:rsidRPr="008E0442">
        <w:rPr>
          <w:b/>
          <w:bCs/>
        </w:rPr>
        <w:t>Question</w:t>
      </w:r>
      <w:r>
        <w:rPr>
          <w:b/>
          <w:bCs/>
        </w:rPr>
        <w:t>:</w:t>
      </w:r>
      <w:r w:rsidRPr="008E0442">
        <w:rPr>
          <w:b/>
          <w:bCs/>
        </w:rPr>
        <w:t xml:space="preserve"> How much back-testing is enough?</w:t>
      </w:r>
    </w:p>
    <w:p w14:paraId="2C88F3CC" w14:textId="77777777" w:rsidR="00CC699B" w:rsidRDefault="00CC699B" w:rsidP="00796125">
      <w:pPr>
        <w:widowControl/>
        <w:tabs>
          <w:tab w:val="left" w:pos="720"/>
        </w:tabs>
        <w:suppressAutoHyphens w:val="0"/>
        <w:spacing w:before="60"/>
      </w:pPr>
      <w:r>
        <w:t>While back tested portfolios are interesting, what really matters is actual investment returns. Before I spend another month</w:t>
      </w:r>
      <w:r w:rsidRPr="00E767E3">
        <w:t xml:space="preserve"> </w:t>
      </w:r>
      <w:r>
        <w:t>and thousands of dollars to recreate research that has already been done, it is important to reflect on where we stand.</w:t>
      </w:r>
    </w:p>
    <w:p w14:paraId="1CFDAA7C" w14:textId="77777777" w:rsidR="00CC699B" w:rsidRDefault="00CC699B" w:rsidP="00796125">
      <w:pPr>
        <w:widowControl/>
        <w:tabs>
          <w:tab w:val="left" w:pos="720"/>
        </w:tabs>
        <w:suppressAutoHyphens w:val="0"/>
        <w:spacing w:before="60"/>
      </w:pPr>
      <w:r>
        <w:t xml:space="preserve">We know there is rigorous academic research is at the foundation of the results. The underlying analysis on value investing has been studied and revised for nearly 100 years. The authors of the Fama-French models, described earlier, have won Nobel Prizes for their work. </w:t>
      </w:r>
    </w:p>
    <w:p w14:paraId="4A821490" w14:textId="77777777" w:rsidR="00CC699B" w:rsidRDefault="00CC699B" w:rsidP="00796125">
      <w:pPr>
        <w:widowControl/>
        <w:tabs>
          <w:tab w:val="left" w:pos="720"/>
        </w:tabs>
        <w:suppressAutoHyphens w:val="0"/>
        <w:spacing w:before="60"/>
      </w:pPr>
      <w:r>
        <w:t>We know combining different metrics for each Value, Quality, Volatility and Momentum result in similar investment results, i.e. outperforming the market. We know from looking at the research that there are dozens of data points for each one of the factors that pass rigorous statistical significance and have resulted in material investment outperformance.</w:t>
      </w:r>
    </w:p>
    <w:p w14:paraId="7B5BB705" w14:textId="77777777" w:rsidR="00CC699B" w:rsidRPr="008E0442" w:rsidRDefault="00CC699B" w:rsidP="00796125">
      <w:pPr>
        <w:widowControl/>
        <w:tabs>
          <w:tab w:val="left" w:pos="720"/>
        </w:tabs>
        <w:suppressAutoHyphens w:val="0"/>
        <w:spacing w:before="60"/>
        <w:rPr>
          <w:b/>
          <w:bCs/>
        </w:rPr>
      </w:pPr>
      <w:r w:rsidRPr="008E0442">
        <w:rPr>
          <w:b/>
          <w:bCs/>
        </w:rPr>
        <w:t>Question: Why don’t other people do this?</w:t>
      </w:r>
    </w:p>
    <w:p w14:paraId="08892B70" w14:textId="77777777" w:rsidR="00CC699B" w:rsidRDefault="00CC699B" w:rsidP="00796125">
      <w:pPr>
        <w:widowControl/>
        <w:tabs>
          <w:tab w:val="left" w:pos="720"/>
        </w:tabs>
        <w:suppressAutoHyphens w:val="0"/>
        <w:spacing w:before="60"/>
      </w:pPr>
      <w:r>
        <w:t>In short, they do. Momentum and t</w:t>
      </w:r>
      <w:r w:rsidRPr="008E0442">
        <w:t>rend following is synonymous with the CTA industry, a category of hedge funds</w:t>
      </w:r>
      <w:r>
        <w:t>. Warren Buffett has performed similar work for 75 years and plenty of people have studied his investment style.</w:t>
      </w:r>
    </w:p>
    <w:p w14:paraId="11541B77" w14:textId="77777777" w:rsidR="00CC699B" w:rsidRDefault="00CC699B" w:rsidP="00796125">
      <w:pPr>
        <w:pStyle w:val="Heading2"/>
        <w:tabs>
          <w:tab w:val="left" w:pos="720"/>
        </w:tabs>
      </w:pPr>
      <w:r>
        <w:t>Top 50 Portfolio Final Thoughts</w:t>
      </w:r>
    </w:p>
    <w:p w14:paraId="62AE6B69" w14:textId="77777777" w:rsidR="00CC699B" w:rsidRDefault="00CC699B" w:rsidP="00796125">
      <w:pPr>
        <w:widowControl/>
        <w:tabs>
          <w:tab w:val="left" w:pos="720"/>
        </w:tabs>
        <w:suppressAutoHyphens w:val="0"/>
        <w:spacing w:before="60"/>
      </w:pPr>
      <w:r>
        <w:t>This investment strategy would be ideal for retirement accounts:</w:t>
      </w:r>
    </w:p>
    <w:p w14:paraId="585B8A69" w14:textId="77777777" w:rsidR="00CC699B" w:rsidRDefault="00CC699B" w:rsidP="00796125">
      <w:pPr>
        <w:pStyle w:val="ListParagraph"/>
        <w:numPr>
          <w:ilvl w:val="0"/>
          <w:numId w:val="18"/>
        </w:numPr>
        <w:tabs>
          <w:tab w:val="left" w:pos="720"/>
        </w:tabs>
        <w:spacing w:before="60"/>
      </w:pPr>
      <w:r>
        <w:t>Gains (losses) would not be subject to realized tax gains (losses) when the portfolio rebalances.</w:t>
      </w:r>
    </w:p>
    <w:p w14:paraId="4AD9D43B" w14:textId="77777777" w:rsidR="00CC699B" w:rsidRDefault="00CC699B" w:rsidP="00796125">
      <w:pPr>
        <w:pStyle w:val="ListParagraph"/>
        <w:numPr>
          <w:ilvl w:val="0"/>
          <w:numId w:val="18"/>
        </w:numPr>
        <w:tabs>
          <w:tab w:val="left" w:pos="720"/>
        </w:tabs>
        <w:spacing w:before="60"/>
      </w:pPr>
      <w:r>
        <w:t>Potential for above market returns without needing to use leverage.</w:t>
      </w:r>
    </w:p>
    <w:p w14:paraId="21AFBF77" w14:textId="77777777" w:rsidR="00CC699B" w:rsidRDefault="00CC699B" w:rsidP="00796125">
      <w:pPr>
        <w:widowControl/>
        <w:tabs>
          <w:tab w:val="left" w:pos="720"/>
        </w:tabs>
        <w:suppressAutoHyphens w:val="0"/>
        <w:spacing w:before="60"/>
      </w:pPr>
      <w:r>
        <w:lastRenderedPageBreak/>
        <w:t>In taxable brokerage accounts, the investment strategy could be:</w:t>
      </w:r>
    </w:p>
    <w:p w14:paraId="6E50FE83" w14:textId="77777777" w:rsidR="00CC699B" w:rsidRDefault="00CC699B" w:rsidP="00796125">
      <w:pPr>
        <w:pStyle w:val="ListParagraph"/>
        <w:numPr>
          <w:ilvl w:val="0"/>
          <w:numId w:val="22"/>
        </w:numPr>
        <w:tabs>
          <w:tab w:val="left" w:pos="720"/>
        </w:tabs>
        <w:spacing w:before="60"/>
      </w:pPr>
      <w:r>
        <w:t>Leveraged or deleveraged to desired risk level.</w:t>
      </w:r>
    </w:p>
    <w:p w14:paraId="3440CFF7" w14:textId="77777777" w:rsidR="00CC699B" w:rsidRDefault="00CC699B" w:rsidP="00796125">
      <w:pPr>
        <w:pStyle w:val="ListParagraph"/>
        <w:numPr>
          <w:ilvl w:val="0"/>
          <w:numId w:val="22"/>
        </w:numPr>
        <w:tabs>
          <w:tab w:val="left" w:pos="720"/>
        </w:tabs>
        <w:spacing w:before="60"/>
      </w:pPr>
      <w:r>
        <w:t>Combined with other investment strategies, such as risk parity, or volatility trading.</w:t>
      </w:r>
    </w:p>
    <w:p w14:paraId="3577119F" w14:textId="77777777" w:rsidR="00CC699B" w:rsidRDefault="00CC699B" w:rsidP="00796125">
      <w:pPr>
        <w:pStyle w:val="ListParagraph"/>
        <w:numPr>
          <w:ilvl w:val="0"/>
          <w:numId w:val="22"/>
        </w:numPr>
        <w:tabs>
          <w:tab w:val="left" w:pos="720"/>
        </w:tabs>
        <w:spacing w:before="60"/>
      </w:pPr>
      <w:r>
        <w:t>Modified for longer periods before rebalancing for Long-Term Capital Gain tax treatment.</w:t>
      </w:r>
    </w:p>
    <w:p w14:paraId="33EBC0E7" w14:textId="77777777" w:rsidR="00CC699B" w:rsidRDefault="00CC699B" w:rsidP="00796125">
      <w:pPr>
        <w:widowControl/>
        <w:tabs>
          <w:tab w:val="left" w:pos="720"/>
        </w:tabs>
        <w:suppressAutoHyphens w:val="0"/>
        <w:spacing w:before="60"/>
      </w:pPr>
      <w:r>
        <w:t>Strategy could also be combined with other Hempel Wealth research on economic cycles and recession timing.</w:t>
      </w:r>
    </w:p>
    <w:p w14:paraId="78F16BDA" w14:textId="77777777" w:rsidR="00CC699B" w:rsidRDefault="00CC699B" w:rsidP="00796125">
      <w:pPr>
        <w:widowControl/>
        <w:tabs>
          <w:tab w:val="left" w:pos="720"/>
        </w:tabs>
        <w:suppressAutoHyphens w:val="0"/>
        <w:spacing w:before="0"/>
        <w:rPr>
          <w:rFonts w:ascii="Cambria" w:hAnsi="Cambria"/>
          <w:b/>
          <w:color w:val="1F497D"/>
          <w:sz w:val="32"/>
        </w:rPr>
      </w:pPr>
      <w:r>
        <w:br w:type="page"/>
      </w:r>
    </w:p>
    <w:p w14:paraId="20989ECF" w14:textId="6E762B79" w:rsidR="00D47FB3" w:rsidRDefault="00D47FB3" w:rsidP="00796125">
      <w:pPr>
        <w:pStyle w:val="Heading1"/>
        <w:numPr>
          <w:ilvl w:val="0"/>
          <w:numId w:val="23"/>
        </w:numPr>
        <w:tabs>
          <w:tab w:val="left" w:pos="720"/>
        </w:tabs>
        <w:spacing w:before="240"/>
        <w:ind w:left="0" w:hanging="540"/>
      </w:pPr>
      <w:r>
        <w:lastRenderedPageBreak/>
        <w:t>Future Work</w:t>
      </w:r>
    </w:p>
    <w:p w14:paraId="02E9F42F" w14:textId="76E39BE4" w:rsidR="00D47FB3" w:rsidRPr="00D47FB3" w:rsidRDefault="00D47FB3" w:rsidP="00796125">
      <w:pPr>
        <w:pStyle w:val="BodyText"/>
        <w:tabs>
          <w:tab w:val="left" w:pos="720"/>
        </w:tabs>
      </w:pPr>
      <w:r>
        <w:t>Incorporate q</w:t>
      </w:r>
      <w:r w:rsidRPr="00D47FB3">
        <w:rPr>
          <w:vertAlign w:val="superscript"/>
        </w:rPr>
        <w:t>5</w:t>
      </w:r>
      <w:r>
        <w:t xml:space="preserve"> model An Augmented q-Factor Model</w:t>
      </w:r>
    </w:p>
    <w:p w14:paraId="636C4A75" w14:textId="489F414A" w:rsidR="00D00231" w:rsidRPr="00A579C1" w:rsidRDefault="00D00231" w:rsidP="00796125">
      <w:pPr>
        <w:pStyle w:val="Heading1"/>
        <w:numPr>
          <w:ilvl w:val="0"/>
          <w:numId w:val="23"/>
        </w:numPr>
        <w:tabs>
          <w:tab w:val="left" w:pos="720"/>
        </w:tabs>
        <w:spacing w:before="240"/>
        <w:ind w:left="0" w:hanging="540"/>
      </w:pPr>
      <w:r>
        <w:t>Sources:</w:t>
      </w:r>
    </w:p>
    <w:p w14:paraId="05FA125C" w14:textId="3B37FFDD" w:rsidR="000134C2" w:rsidRDefault="000134C2" w:rsidP="00796125">
      <w:pPr>
        <w:pStyle w:val="Heading3"/>
        <w:tabs>
          <w:tab w:val="left" w:pos="720"/>
        </w:tabs>
        <w:rPr>
          <w:shd w:val="clear" w:color="auto" w:fill="FFFFFF"/>
          <w:lang w:val="en-US" w:eastAsia="en-US" w:bidi="ar-SA"/>
        </w:rPr>
      </w:pPr>
      <w:r>
        <w:rPr>
          <w:shd w:val="clear" w:color="auto" w:fill="FFFFFF"/>
          <w:lang w:val="en-US" w:eastAsia="en-US" w:bidi="ar-SA"/>
        </w:rPr>
        <w:t>q-factor Model</w:t>
      </w:r>
    </w:p>
    <w:p w14:paraId="35293BA4" w14:textId="77777777" w:rsidR="000134C2" w:rsidRDefault="000134C2" w:rsidP="00796125">
      <w:pPr>
        <w:tabs>
          <w:tab w:val="left" w:pos="720"/>
        </w:tabs>
        <w:rPr>
          <w:shd w:val="clear" w:color="auto" w:fill="FFFFFF"/>
          <w:lang w:val="en-US" w:eastAsia="en-US" w:bidi="ar-SA"/>
        </w:rPr>
      </w:pPr>
      <w:r w:rsidRPr="000134C2">
        <w:rPr>
          <w:shd w:val="clear" w:color="auto" w:fill="FFFFFF"/>
          <w:lang w:val="en-US" w:eastAsia="en-US" w:bidi="ar-SA"/>
        </w:rPr>
        <w:t xml:space="preserve">K Hou, C Xue, L Zhang </w:t>
      </w:r>
      <w:r>
        <w:rPr>
          <w:shd w:val="clear" w:color="auto" w:fill="FFFFFF"/>
          <w:lang w:val="en-US" w:eastAsia="en-US" w:bidi="ar-SA"/>
        </w:rPr>
        <w:t>2015</w:t>
      </w:r>
    </w:p>
    <w:p w14:paraId="09E1DB86" w14:textId="77777777" w:rsidR="000134C2" w:rsidRPr="000134C2" w:rsidRDefault="000134C2" w:rsidP="00796125">
      <w:pPr>
        <w:tabs>
          <w:tab w:val="left" w:pos="720"/>
        </w:tabs>
        <w:rPr>
          <w:shd w:val="clear" w:color="auto" w:fill="FFFFFF"/>
          <w:lang w:val="en-US" w:eastAsia="en-US" w:bidi="ar-SA"/>
        </w:rPr>
      </w:pPr>
      <w:r w:rsidRPr="000134C2">
        <w:rPr>
          <w:shd w:val="clear" w:color="auto" w:fill="FFFFFF"/>
          <w:lang w:val="en-US" w:eastAsia="en-US" w:bidi="ar-SA"/>
        </w:rPr>
        <w:t>Digesting anomalies: an investment approach</w:t>
      </w:r>
    </w:p>
    <w:p w14:paraId="38AF4818" w14:textId="77777777" w:rsidR="000134C2" w:rsidRDefault="00000000" w:rsidP="00796125">
      <w:pPr>
        <w:tabs>
          <w:tab w:val="left" w:pos="720"/>
        </w:tabs>
        <w:rPr>
          <w:shd w:val="clear" w:color="auto" w:fill="FFFFFF"/>
          <w:lang w:val="en-US" w:eastAsia="en-US" w:bidi="ar-SA"/>
        </w:rPr>
      </w:pPr>
      <w:hyperlink r:id="rId19" w:history="1">
        <w:r w:rsidR="000134C2" w:rsidRPr="00C96CFE">
          <w:rPr>
            <w:rStyle w:val="Hyperlink"/>
            <w:shd w:val="clear" w:color="auto" w:fill="FFFFFF"/>
            <w:lang w:val="en-US" w:eastAsia="en-US" w:bidi="ar-SA"/>
          </w:rPr>
          <w:t>https://doi.org/10.1093/rfs/hhu068</w:t>
        </w:r>
      </w:hyperlink>
    </w:p>
    <w:p w14:paraId="61A622DE" w14:textId="7F15DC2A" w:rsidR="00A35E83" w:rsidRDefault="00A35E83" w:rsidP="00796125">
      <w:pPr>
        <w:pStyle w:val="Heading3"/>
        <w:tabs>
          <w:tab w:val="left" w:pos="720"/>
        </w:tabs>
        <w:rPr>
          <w:shd w:val="clear" w:color="auto" w:fill="FFFFFF"/>
          <w:lang w:val="en-US" w:eastAsia="en-US" w:bidi="ar-SA"/>
        </w:rPr>
      </w:pPr>
      <w:r>
        <w:rPr>
          <w:shd w:val="clear" w:color="auto" w:fill="FFFFFF"/>
          <w:lang w:val="en-US" w:eastAsia="en-US" w:bidi="ar-SA"/>
        </w:rPr>
        <w:t>Fama-French 5 model</w:t>
      </w:r>
    </w:p>
    <w:p w14:paraId="29310524" w14:textId="77777777" w:rsidR="00A35E83" w:rsidRDefault="00A35E83" w:rsidP="00796125">
      <w:pPr>
        <w:tabs>
          <w:tab w:val="left" w:pos="720"/>
        </w:tabs>
        <w:rPr>
          <w:shd w:val="clear" w:color="auto" w:fill="FFFFFF"/>
          <w:lang w:val="en-US" w:eastAsia="en-US" w:bidi="ar-SA"/>
        </w:rPr>
      </w:pPr>
      <w:r w:rsidRPr="00A35E83">
        <w:rPr>
          <w:shd w:val="clear" w:color="auto" w:fill="FFFFFF"/>
          <w:lang w:val="en-US" w:eastAsia="en-US" w:bidi="ar-SA"/>
        </w:rPr>
        <w:t xml:space="preserve">A five-factor asset pricing model </w:t>
      </w:r>
    </w:p>
    <w:p w14:paraId="1BB4DC48" w14:textId="572107B1" w:rsidR="00A35E83" w:rsidRPr="00A35E83" w:rsidRDefault="00A35E83" w:rsidP="00796125">
      <w:pPr>
        <w:tabs>
          <w:tab w:val="left" w:pos="720"/>
        </w:tabs>
        <w:rPr>
          <w:shd w:val="clear" w:color="auto" w:fill="FFFFFF"/>
          <w:lang w:val="en-US" w:eastAsia="en-US" w:bidi="ar-SA"/>
        </w:rPr>
      </w:pPr>
      <w:r w:rsidRPr="00411CF7">
        <w:rPr>
          <w:shd w:val="clear" w:color="auto" w:fill="FFFFFF"/>
          <w:lang w:val="en-US" w:eastAsia="en-US" w:bidi="ar-SA"/>
        </w:rPr>
        <w:t>Eugene F. Fama a, Kenneth. French </w:t>
      </w:r>
    </w:p>
    <w:p w14:paraId="04AC3897" w14:textId="566692FA" w:rsidR="00A35E83" w:rsidRPr="00A35E83" w:rsidRDefault="00A35E83" w:rsidP="00796125">
      <w:pPr>
        <w:tabs>
          <w:tab w:val="left" w:pos="720"/>
        </w:tabs>
        <w:rPr>
          <w:lang w:val="en-US" w:eastAsia="en-US" w:bidi="ar-SA"/>
        </w:rPr>
      </w:pPr>
      <w:r w:rsidRPr="00A35E83">
        <w:rPr>
          <w:shd w:val="clear" w:color="auto" w:fill="FFFFFF"/>
          <w:lang w:val="en-US" w:eastAsia="en-US" w:bidi="ar-SA"/>
        </w:rPr>
        <w:t>https://www.sciencedirect</w:t>
      </w:r>
      <w:r w:rsidRPr="00A35E83">
        <w:rPr>
          <w:lang w:val="en-US" w:eastAsia="en-US" w:bidi="ar-SA"/>
        </w:rPr>
        <w:t>.com/science/article/abs/pii/S0304405X14002323</w:t>
      </w:r>
    </w:p>
    <w:p w14:paraId="6E5FA5B0" w14:textId="1D8064C2" w:rsidR="000134C2" w:rsidRDefault="000134C2" w:rsidP="00796125">
      <w:pPr>
        <w:pStyle w:val="Heading3"/>
        <w:tabs>
          <w:tab w:val="left" w:pos="720"/>
        </w:tabs>
        <w:rPr>
          <w:shd w:val="clear" w:color="auto" w:fill="FFFFFF"/>
          <w:lang w:val="en-US" w:eastAsia="en-US" w:bidi="ar-SA"/>
        </w:rPr>
      </w:pPr>
      <w:r>
        <w:rPr>
          <w:shd w:val="clear" w:color="auto" w:fill="FFFFFF"/>
          <w:lang w:val="en-US" w:eastAsia="en-US" w:bidi="ar-SA"/>
        </w:rPr>
        <w:t>Fama-French 6 model</w:t>
      </w:r>
    </w:p>
    <w:p w14:paraId="68244833" w14:textId="77777777" w:rsidR="00A35E83" w:rsidRDefault="00411CF7" w:rsidP="00796125">
      <w:pPr>
        <w:tabs>
          <w:tab w:val="left" w:pos="720"/>
        </w:tabs>
        <w:rPr>
          <w:shd w:val="clear" w:color="auto" w:fill="FFFFFF"/>
          <w:lang w:val="en-US" w:eastAsia="en-US" w:bidi="ar-SA"/>
        </w:rPr>
      </w:pPr>
      <w:r w:rsidRPr="00411CF7">
        <w:rPr>
          <w:shd w:val="clear" w:color="auto" w:fill="FFFFFF"/>
          <w:lang w:val="en-US" w:eastAsia="en-US" w:bidi="ar-SA"/>
        </w:rPr>
        <w:t xml:space="preserve">Choosing factors </w:t>
      </w:r>
    </w:p>
    <w:p w14:paraId="1B609E83" w14:textId="589F08DF" w:rsidR="00A35E83" w:rsidRDefault="00411CF7" w:rsidP="00796125">
      <w:pPr>
        <w:tabs>
          <w:tab w:val="left" w:pos="720"/>
        </w:tabs>
        <w:rPr>
          <w:shd w:val="clear" w:color="auto" w:fill="FFFFFF"/>
          <w:lang w:val="en-US" w:eastAsia="en-US" w:bidi="ar-SA"/>
        </w:rPr>
      </w:pPr>
      <w:r w:rsidRPr="00411CF7">
        <w:rPr>
          <w:shd w:val="clear" w:color="auto" w:fill="FFFFFF"/>
          <w:lang w:val="en-US" w:eastAsia="en-US" w:bidi="ar-SA"/>
        </w:rPr>
        <w:t>Eugene F. Fama a, Kenneth. French </w:t>
      </w:r>
    </w:p>
    <w:p w14:paraId="706B6418" w14:textId="2CB0F2D5" w:rsidR="00411CF7" w:rsidRPr="00411CF7" w:rsidRDefault="00411CF7" w:rsidP="00796125">
      <w:pPr>
        <w:tabs>
          <w:tab w:val="left" w:pos="720"/>
        </w:tabs>
        <w:rPr>
          <w:shd w:val="clear" w:color="auto" w:fill="FFFFFF"/>
          <w:lang w:val="en-US" w:eastAsia="en-US" w:bidi="ar-SA"/>
        </w:rPr>
      </w:pPr>
      <w:r w:rsidRPr="00411CF7">
        <w:rPr>
          <w:lang w:val="en-US" w:eastAsia="en-US" w:bidi="ar-SA"/>
        </w:rPr>
        <w:t>https://www.sciencedirect.com/science/article/abs/pii/S0304405X18300515</w:t>
      </w:r>
    </w:p>
    <w:p w14:paraId="7CA79698" w14:textId="0C921813" w:rsidR="00CC1DA3" w:rsidRDefault="00CC1DA3" w:rsidP="00796125">
      <w:pPr>
        <w:tabs>
          <w:tab w:val="left" w:pos="720"/>
        </w:tabs>
        <w:rPr>
          <w:shd w:val="clear" w:color="auto" w:fill="FFFFFF"/>
          <w:lang w:val="en-US" w:eastAsia="en-US" w:bidi="ar-SA"/>
        </w:rPr>
      </w:pPr>
      <w:r>
        <w:rPr>
          <w:shd w:val="clear" w:color="auto" w:fill="FFFFFF"/>
          <w:lang w:val="en-US" w:eastAsia="en-US" w:bidi="ar-SA"/>
        </w:rPr>
        <w:t>CFA summary of Fama-French 6 model</w:t>
      </w:r>
    </w:p>
    <w:p w14:paraId="4D75D941" w14:textId="2C3E049F" w:rsidR="00905495" w:rsidRDefault="00000000" w:rsidP="00796125">
      <w:pPr>
        <w:tabs>
          <w:tab w:val="left" w:pos="720"/>
        </w:tabs>
        <w:rPr>
          <w:shd w:val="clear" w:color="auto" w:fill="FFFFFF"/>
          <w:lang w:val="en-US" w:eastAsia="en-US" w:bidi="ar-SA"/>
        </w:rPr>
      </w:pPr>
      <w:hyperlink r:id="rId20" w:history="1">
        <w:r w:rsidR="00CC1DA3" w:rsidRPr="00C96CFE">
          <w:rPr>
            <w:rStyle w:val="Hyperlink"/>
            <w:shd w:val="clear" w:color="auto" w:fill="FFFFFF"/>
            <w:lang w:val="en-US" w:eastAsia="en-US" w:bidi="ar-SA"/>
          </w:rPr>
          <w:t>https://www.cfainstitute.org/en/research/cfa-digest/2019/04/dig-v49-n4-4</w:t>
        </w:r>
      </w:hyperlink>
    </w:p>
    <w:p w14:paraId="12DCCF03" w14:textId="1BAC441A" w:rsidR="000134C2" w:rsidRDefault="000134C2" w:rsidP="00796125">
      <w:pPr>
        <w:tabs>
          <w:tab w:val="left" w:pos="720"/>
        </w:tabs>
        <w:rPr>
          <w:shd w:val="clear" w:color="auto" w:fill="FFFFFF"/>
          <w:lang w:val="en-US" w:eastAsia="en-US" w:bidi="ar-SA"/>
        </w:rPr>
      </w:pPr>
      <w:r>
        <w:rPr>
          <w:shd w:val="clear" w:color="auto" w:fill="FFFFFF"/>
          <w:lang w:val="en-US" w:eastAsia="en-US" w:bidi="ar-SA"/>
        </w:rPr>
        <w:t>AQR</w:t>
      </w:r>
    </w:p>
    <w:p w14:paraId="624403ED" w14:textId="7E2BD969" w:rsidR="000134C2" w:rsidRDefault="00000000" w:rsidP="00796125">
      <w:pPr>
        <w:tabs>
          <w:tab w:val="left" w:pos="720"/>
        </w:tabs>
        <w:rPr>
          <w:shd w:val="clear" w:color="auto" w:fill="FFFFFF"/>
          <w:lang w:val="en-US" w:eastAsia="en-US" w:bidi="ar-SA"/>
        </w:rPr>
      </w:pPr>
      <w:hyperlink r:id="rId21" w:history="1">
        <w:r w:rsidR="000134C2" w:rsidRPr="00C96CFE">
          <w:rPr>
            <w:rStyle w:val="Hyperlink"/>
            <w:shd w:val="clear" w:color="auto" w:fill="FFFFFF"/>
            <w:lang w:val="en-US" w:eastAsia="en-US" w:bidi="ar-SA"/>
          </w:rPr>
          <w:t>https://www.aqr.com/-/media/AQR/Documents/Insights/Perspectives/Our-Model-Goes-to-Six-and-Saves-Value-From-Redundancy-Along-the-Way.pdf</w:t>
        </w:r>
      </w:hyperlink>
    </w:p>
    <w:p w14:paraId="72EB8D4D" w14:textId="77777777" w:rsidR="000134C2" w:rsidRDefault="000134C2" w:rsidP="00796125">
      <w:pPr>
        <w:tabs>
          <w:tab w:val="left" w:pos="720"/>
        </w:tabs>
        <w:rPr>
          <w:shd w:val="clear" w:color="auto" w:fill="FFFFFF"/>
          <w:lang w:val="en-US" w:eastAsia="en-US" w:bidi="ar-SA"/>
        </w:rPr>
      </w:pPr>
    </w:p>
    <w:p w14:paraId="70CD3078" w14:textId="7C8D6827" w:rsidR="00CC1DA3" w:rsidRDefault="000134C2" w:rsidP="00796125">
      <w:pPr>
        <w:pStyle w:val="Heading3"/>
        <w:tabs>
          <w:tab w:val="left" w:pos="720"/>
        </w:tabs>
        <w:rPr>
          <w:shd w:val="clear" w:color="auto" w:fill="FFFFFF"/>
          <w:lang w:val="en-US" w:eastAsia="en-US" w:bidi="ar-SA"/>
        </w:rPr>
      </w:pPr>
      <w:r w:rsidRPr="00C90DA6">
        <w:rPr>
          <w:shd w:val="clear" w:color="auto" w:fill="FFFFFF"/>
          <w:lang w:val="en-US" w:eastAsia="en-US" w:bidi="ar-SA"/>
        </w:rPr>
        <w:t>An Augmented q-Factor Model with Expected Growth</w:t>
      </w:r>
    </w:p>
    <w:p w14:paraId="4C140EF1" w14:textId="411E9639" w:rsidR="00C90DA6" w:rsidRPr="00C90DA6" w:rsidRDefault="00C90DA6" w:rsidP="00796125">
      <w:pPr>
        <w:tabs>
          <w:tab w:val="left" w:pos="720"/>
        </w:tabs>
        <w:rPr>
          <w:shd w:val="clear" w:color="auto" w:fill="FFFFFF"/>
          <w:lang w:val="en-US" w:eastAsia="en-US" w:bidi="ar-SA"/>
        </w:rPr>
      </w:pPr>
      <w:r w:rsidRPr="00C90DA6">
        <w:rPr>
          <w:shd w:val="clear" w:color="auto" w:fill="FFFFFF"/>
          <w:lang w:val="en-US" w:eastAsia="en-US" w:bidi="ar-SA"/>
        </w:rPr>
        <w:t>Zhang 2021</w:t>
      </w:r>
      <w:r w:rsidR="00905495">
        <w:rPr>
          <w:shd w:val="clear" w:color="auto" w:fill="FFFFFF"/>
          <w:lang w:val="en-US" w:eastAsia="en-US" w:bidi="ar-SA"/>
        </w:rPr>
        <w:t xml:space="preserve"> </w:t>
      </w:r>
      <w:r w:rsidRPr="00C90DA6">
        <w:rPr>
          <w:shd w:val="clear" w:color="auto" w:fill="FFFFFF"/>
          <w:lang w:val="en-US" w:eastAsia="en-US" w:bidi="ar-SA"/>
        </w:rPr>
        <w:t>“An Augmented q-Factor Model with Expected Growth”</w:t>
      </w:r>
    </w:p>
    <w:p w14:paraId="78FCE8B9" w14:textId="60B48B26" w:rsidR="000134C2" w:rsidRDefault="000134C2" w:rsidP="00796125">
      <w:pPr>
        <w:pStyle w:val="Heading3"/>
        <w:tabs>
          <w:tab w:val="left" w:pos="720"/>
        </w:tabs>
        <w:rPr>
          <w:shd w:val="clear" w:color="auto" w:fill="FFFFFF"/>
          <w:lang w:val="en-US" w:eastAsia="en-US" w:bidi="ar-SA"/>
        </w:rPr>
      </w:pPr>
      <w:r w:rsidRPr="000134C2">
        <w:rPr>
          <w:shd w:val="clear" w:color="auto" w:fill="FFFFFF"/>
          <w:lang w:val="en-US" w:eastAsia="en-US" w:bidi="ar-SA"/>
        </w:rPr>
        <w:t>q-Factors and Investment CAPM</w:t>
      </w:r>
    </w:p>
    <w:p w14:paraId="26F9D301" w14:textId="6FBF5EC9" w:rsidR="000134C2" w:rsidRDefault="000134C2" w:rsidP="00796125">
      <w:pPr>
        <w:tabs>
          <w:tab w:val="left" w:pos="720"/>
        </w:tabs>
        <w:rPr>
          <w:shd w:val="clear" w:color="auto" w:fill="FFFFFF"/>
          <w:lang w:val="en-US" w:eastAsia="en-US" w:bidi="ar-SA"/>
        </w:rPr>
      </w:pPr>
      <w:r w:rsidRPr="00C90DA6">
        <w:rPr>
          <w:shd w:val="clear" w:color="auto" w:fill="FFFFFF"/>
          <w:lang w:val="en-US" w:eastAsia="en-US" w:bidi="ar-SA"/>
        </w:rPr>
        <w:t>Zhang 20</w:t>
      </w:r>
      <w:r>
        <w:rPr>
          <w:shd w:val="clear" w:color="auto" w:fill="FFFFFF"/>
          <w:lang w:val="en-US" w:eastAsia="en-US" w:bidi="ar-SA"/>
        </w:rPr>
        <w:t>19</w:t>
      </w:r>
    </w:p>
    <w:p w14:paraId="231D4295" w14:textId="02919B27" w:rsidR="000134C2" w:rsidRDefault="000134C2" w:rsidP="00796125">
      <w:pPr>
        <w:tabs>
          <w:tab w:val="left" w:pos="720"/>
        </w:tabs>
        <w:rPr>
          <w:shd w:val="clear" w:color="auto" w:fill="FFFFFF"/>
          <w:lang w:val="en-US" w:eastAsia="en-US" w:bidi="ar-SA"/>
        </w:rPr>
      </w:pPr>
      <w:r w:rsidRPr="000134C2">
        <w:rPr>
          <w:shd w:val="clear" w:color="auto" w:fill="FFFFFF"/>
          <w:lang w:val="en-US" w:eastAsia="en-US" w:bidi="ar-SA"/>
        </w:rPr>
        <w:t>q-Factors and Investment CAPM</w:t>
      </w:r>
    </w:p>
    <w:p w14:paraId="4ACACAD5" w14:textId="51FCD1CD" w:rsidR="000134C2" w:rsidRDefault="00000000" w:rsidP="00796125">
      <w:pPr>
        <w:tabs>
          <w:tab w:val="left" w:pos="720"/>
        </w:tabs>
        <w:rPr>
          <w:shd w:val="clear" w:color="auto" w:fill="FFFFFF"/>
          <w:lang w:val="en-US" w:eastAsia="en-US" w:bidi="ar-SA"/>
        </w:rPr>
      </w:pPr>
      <w:hyperlink r:id="rId22" w:history="1">
        <w:r w:rsidR="000134C2" w:rsidRPr="00C96CFE">
          <w:rPr>
            <w:rStyle w:val="Hyperlink"/>
            <w:shd w:val="clear" w:color="auto" w:fill="FFFFFF"/>
            <w:lang w:val="en-US" w:eastAsia="en-US" w:bidi="ar-SA"/>
          </w:rPr>
          <w:t>https://papers.ssrn.com/sol3/papers.cfm?abstract_id=3497867</w:t>
        </w:r>
      </w:hyperlink>
    </w:p>
    <w:p w14:paraId="02ED5ABA" w14:textId="1C558F71" w:rsidR="000134C2" w:rsidRDefault="000134C2" w:rsidP="00796125">
      <w:pPr>
        <w:pStyle w:val="Heading3"/>
        <w:tabs>
          <w:tab w:val="left" w:pos="720"/>
        </w:tabs>
        <w:rPr>
          <w:shd w:val="clear" w:color="auto" w:fill="FFFFFF"/>
          <w:lang w:val="en-US" w:eastAsia="en-US" w:bidi="ar-SA"/>
        </w:rPr>
      </w:pPr>
      <w:r w:rsidRPr="000047EB">
        <w:rPr>
          <w:shd w:val="clear" w:color="auto" w:fill="FFFFFF"/>
          <w:lang w:val="en-US" w:eastAsia="en-US" w:bidi="ar-SA"/>
        </w:rPr>
        <w:t>REPLICATING ANOMALIES</w:t>
      </w:r>
    </w:p>
    <w:p w14:paraId="26689E0B" w14:textId="7E793206" w:rsidR="006E7EFF" w:rsidRDefault="000047EB" w:rsidP="00796125">
      <w:pPr>
        <w:tabs>
          <w:tab w:val="left" w:pos="720"/>
        </w:tabs>
        <w:rPr>
          <w:shd w:val="clear" w:color="auto" w:fill="FFFFFF"/>
          <w:lang w:val="en-US" w:eastAsia="en-US" w:bidi="ar-SA"/>
        </w:rPr>
      </w:pPr>
      <w:r w:rsidRPr="000047EB">
        <w:rPr>
          <w:shd w:val="clear" w:color="auto" w:fill="FFFFFF"/>
          <w:lang w:val="en-US" w:eastAsia="en-US" w:bidi="ar-SA"/>
        </w:rPr>
        <w:t>REPLICATING ANOMALIES</w:t>
      </w:r>
      <w:r>
        <w:rPr>
          <w:shd w:val="clear" w:color="auto" w:fill="FFFFFF"/>
          <w:lang w:val="en-US" w:eastAsia="en-US" w:bidi="ar-SA"/>
        </w:rPr>
        <w:t xml:space="preserve"> 2017 </w:t>
      </w:r>
      <w:proofErr w:type="spellStart"/>
      <w:r w:rsidRPr="000047EB">
        <w:rPr>
          <w:shd w:val="clear" w:color="auto" w:fill="FFFFFF"/>
          <w:lang w:val="en-US" w:eastAsia="en-US" w:bidi="ar-SA"/>
        </w:rPr>
        <w:t>Kewei</w:t>
      </w:r>
      <w:proofErr w:type="spellEnd"/>
      <w:r w:rsidRPr="000047EB">
        <w:rPr>
          <w:shd w:val="clear" w:color="auto" w:fill="FFFFFF"/>
          <w:lang w:val="en-US" w:eastAsia="en-US" w:bidi="ar-SA"/>
        </w:rPr>
        <w:t xml:space="preserve"> Hou</w:t>
      </w:r>
      <w:r>
        <w:rPr>
          <w:shd w:val="clear" w:color="auto" w:fill="FFFFFF"/>
          <w:lang w:val="en-US" w:eastAsia="en-US" w:bidi="ar-SA"/>
        </w:rPr>
        <w:t xml:space="preserve">, </w:t>
      </w:r>
      <w:r w:rsidRPr="000047EB">
        <w:rPr>
          <w:shd w:val="clear" w:color="auto" w:fill="FFFFFF"/>
          <w:lang w:val="en-US" w:eastAsia="en-US" w:bidi="ar-SA"/>
        </w:rPr>
        <w:t>Chen Xue</w:t>
      </w:r>
      <w:r>
        <w:rPr>
          <w:shd w:val="clear" w:color="auto" w:fill="FFFFFF"/>
          <w:lang w:val="en-US" w:eastAsia="en-US" w:bidi="ar-SA"/>
        </w:rPr>
        <w:t xml:space="preserve">, </w:t>
      </w:r>
      <w:r w:rsidRPr="000047EB">
        <w:rPr>
          <w:shd w:val="clear" w:color="auto" w:fill="FFFFFF"/>
          <w:lang w:val="en-US" w:eastAsia="en-US" w:bidi="ar-SA"/>
        </w:rPr>
        <w:t>Lu Zhang</w:t>
      </w:r>
      <w:r>
        <w:rPr>
          <w:shd w:val="clear" w:color="auto" w:fill="FFFFFF"/>
          <w:lang w:val="en-US" w:eastAsia="en-US" w:bidi="ar-SA"/>
        </w:rPr>
        <w:t xml:space="preserve"> </w:t>
      </w:r>
      <w:r w:rsidRPr="000047EB">
        <w:rPr>
          <w:shd w:val="clear" w:color="auto" w:fill="FFFFFF"/>
          <w:lang w:val="en-US" w:eastAsia="en-US" w:bidi="ar-SA"/>
        </w:rPr>
        <w:t>Working Paper 23394</w:t>
      </w:r>
      <w:r>
        <w:rPr>
          <w:shd w:val="clear" w:color="auto" w:fill="FFFFFF"/>
          <w:lang w:val="en-US" w:eastAsia="en-US" w:bidi="ar-SA"/>
        </w:rPr>
        <w:t xml:space="preserve"> </w:t>
      </w:r>
      <w:hyperlink r:id="rId23" w:history="1">
        <w:r w:rsidR="000134C2" w:rsidRPr="00C96CFE">
          <w:rPr>
            <w:rStyle w:val="Hyperlink"/>
            <w:shd w:val="clear" w:color="auto" w:fill="FFFFFF"/>
            <w:lang w:val="en-US" w:eastAsia="en-US" w:bidi="ar-SA"/>
          </w:rPr>
          <w:t>http://www.nber.org/papers/w23394</w:t>
        </w:r>
      </w:hyperlink>
    </w:p>
    <w:p w14:paraId="6F5BFE5A" w14:textId="004E8E4B" w:rsidR="000134C2" w:rsidRDefault="000134C2" w:rsidP="00796125">
      <w:pPr>
        <w:tabs>
          <w:tab w:val="left" w:pos="720"/>
        </w:tabs>
        <w:rPr>
          <w:shd w:val="clear" w:color="auto" w:fill="FFFFFF"/>
          <w:lang w:val="en-US" w:eastAsia="en-US" w:bidi="ar-SA"/>
        </w:rPr>
      </w:pPr>
    </w:p>
    <w:p w14:paraId="60B5891E" w14:textId="77777777" w:rsidR="000134C2" w:rsidRDefault="000134C2" w:rsidP="00796125">
      <w:pPr>
        <w:tabs>
          <w:tab w:val="left" w:pos="720"/>
        </w:tabs>
        <w:rPr>
          <w:shd w:val="clear" w:color="auto" w:fill="FFFFFF"/>
          <w:lang w:val="en-US" w:eastAsia="en-US" w:bidi="ar-SA"/>
        </w:rPr>
      </w:pPr>
    </w:p>
    <w:p w14:paraId="00F76EA5" w14:textId="77777777" w:rsidR="006E7EFF" w:rsidRDefault="006E7EFF" w:rsidP="00796125">
      <w:pPr>
        <w:tabs>
          <w:tab w:val="left" w:pos="720"/>
        </w:tabs>
        <w:spacing w:before="60"/>
      </w:pPr>
      <w:r>
        <w:t>Analysts’ forecast change(1- 6- 12-month)</w:t>
      </w:r>
      <w:r w:rsidRPr="006E7EFF">
        <w:t xml:space="preserve"> </w:t>
      </w:r>
      <w:r>
        <w:t>dEf1 Hawkins, Chamberlin and Daniel (1984)</w:t>
      </w:r>
    </w:p>
    <w:p w14:paraId="16F99C8C" w14:textId="66D8D281" w:rsidR="006E7EFF" w:rsidRDefault="006E7EFF" w:rsidP="00796125">
      <w:pPr>
        <w:pStyle w:val="BodyText"/>
        <w:tabs>
          <w:tab w:val="left" w:pos="720"/>
        </w:tabs>
        <w:rPr>
          <w:lang w:val="en-US" w:eastAsia="en-US" w:bidi="ar-SA"/>
        </w:rPr>
      </w:pPr>
    </w:p>
    <w:p w14:paraId="52EC37C1" w14:textId="0CC51DBE" w:rsidR="002E2BBD" w:rsidRPr="002E2BBD" w:rsidRDefault="002E2BBD" w:rsidP="00796125">
      <w:pPr>
        <w:tabs>
          <w:tab w:val="left" w:pos="720"/>
        </w:tabs>
        <w:rPr>
          <w:b/>
          <w:bCs/>
        </w:rPr>
      </w:pPr>
      <w:r w:rsidRPr="002E2BBD">
        <w:rPr>
          <w:b/>
          <w:bCs/>
        </w:rPr>
        <w:t>Sales</w:t>
      </w:r>
      <w:r>
        <w:rPr>
          <w:b/>
          <w:bCs/>
        </w:rPr>
        <w:t xml:space="preserve"> </w:t>
      </w:r>
      <w:r w:rsidRPr="002E2BBD">
        <w:rPr>
          <w:b/>
          <w:bCs/>
        </w:rPr>
        <w:t>to</w:t>
      </w:r>
      <w:r>
        <w:rPr>
          <w:b/>
          <w:bCs/>
        </w:rPr>
        <w:t xml:space="preserve"> P</w:t>
      </w:r>
      <w:r w:rsidRPr="002E2BBD">
        <w:rPr>
          <w:b/>
          <w:bCs/>
        </w:rPr>
        <w:t>rice</w:t>
      </w:r>
    </w:p>
    <w:p w14:paraId="29715AB9" w14:textId="6820F1E1" w:rsidR="002E2BBD" w:rsidRDefault="002E2BBD" w:rsidP="00796125">
      <w:pPr>
        <w:tabs>
          <w:tab w:val="left" w:pos="720"/>
        </w:tabs>
        <w:rPr>
          <w:shd w:val="clear" w:color="auto" w:fill="FFFFFF"/>
          <w:lang w:val="en-US" w:eastAsia="en-US" w:bidi="ar-SA"/>
        </w:rPr>
      </w:pPr>
      <w:r>
        <w:t>Barbee, William C., Jr., Sandip Mukherji, and Gary A. Raines, 1996, Do sales-price and debt-equity explain stock returns better than book-market and firm size? Financial Analysts Journal 52, 56-60.</w:t>
      </w:r>
    </w:p>
    <w:p w14:paraId="7C078C93" w14:textId="75FB0E14" w:rsidR="002E2BBD" w:rsidRPr="002E2BBD" w:rsidRDefault="002E2BBD" w:rsidP="00796125">
      <w:pPr>
        <w:tabs>
          <w:tab w:val="left" w:pos="720"/>
        </w:tabs>
        <w:rPr>
          <w:b/>
          <w:bCs/>
          <w:shd w:val="clear" w:color="auto" w:fill="FFFFFF"/>
          <w:lang w:val="en-US" w:eastAsia="en-US" w:bidi="ar-SA"/>
        </w:rPr>
      </w:pPr>
      <w:r w:rsidRPr="002E2BBD">
        <w:rPr>
          <w:b/>
          <w:bCs/>
          <w:shd w:val="clear" w:color="auto" w:fill="FFFFFF"/>
          <w:lang w:val="en-US" w:eastAsia="en-US" w:bidi="ar-SA"/>
        </w:rPr>
        <w:t>Earnings to Price</w:t>
      </w:r>
    </w:p>
    <w:p w14:paraId="36060F76" w14:textId="77777777" w:rsidR="002E2BBD" w:rsidRDefault="002E2BBD" w:rsidP="00796125">
      <w:pPr>
        <w:tabs>
          <w:tab w:val="left" w:pos="720"/>
        </w:tabs>
      </w:pPr>
      <w:proofErr w:type="spellStart"/>
      <w:r>
        <w:t>Basu</w:t>
      </w:r>
      <w:proofErr w:type="spellEnd"/>
      <w:r>
        <w:t>, Sanjoy, 1983, The relationship between earnings yield, market value, and return for NYSE common stocks: Further evidence, Journal of Financial Economics 12, 129–156.</w:t>
      </w:r>
    </w:p>
    <w:p w14:paraId="692BF024" w14:textId="77719D88" w:rsidR="002E2BBD" w:rsidRPr="002E2BBD" w:rsidRDefault="002E2BBD" w:rsidP="00796125">
      <w:pPr>
        <w:tabs>
          <w:tab w:val="left" w:pos="720"/>
        </w:tabs>
        <w:rPr>
          <w:b/>
          <w:bCs/>
        </w:rPr>
      </w:pPr>
      <w:r w:rsidRPr="002E2BBD">
        <w:rPr>
          <w:b/>
          <w:bCs/>
        </w:rPr>
        <w:t>Enterprise Multiple</w:t>
      </w:r>
    </w:p>
    <w:p w14:paraId="4651A60A" w14:textId="3C4618A8" w:rsidR="002E2BBD" w:rsidRDefault="002E2BBD" w:rsidP="00796125">
      <w:pPr>
        <w:tabs>
          <w:tab w:val="left" w:pos="720"/>
        </w:tabs>
      </w:pPr>
      <w:r>
        <w:t>Loughran, Tim, and Jay W. Wellman, 2011, New evidence on the relation between the enterprise multiple and average stock returns, Journal of Financial and Quantitative Analysis 46, 1629– 1650.</w:t>
      </w:r>
    </w:p>
    <w:p w14:paraId="5DEBCF58" w14:textId="15609B1B" w:rsidR="002E2BBD" w:rsidRPr="002E2BBD" w:rsidRDefault="002E2BBD" w:rsidP="00796125">
      <w:pPr>
        <w:tabs>
          <w:tab w:val="left" w:pos="720"/>
        </w:tabs>
        <w:rPr>
          <w:b/>
          <w:bCs/>
        </w:rPr>
      </w:pPr>
      <w:r w:rsidRPr="002E2BBD">
        <w:rPr>
          <w:b/>
          <w:bCs/>
        </w:rPr>
        <w:t>Gross Profitability</w:t>
      </w:r>
    </w:p>
    <w:p w14:paraId="47145DE6" w14:textId="21A24489" w:rsidR="00D00231" w:rsidRPr="00D00231" w:rsidRDefault="00D00231" w:rsidP="00796125">
      <w:pPr>
        <w:tabs>
          <w:tab w:val="left" w:pos="720"/>
        </w:tabs>
        <w:rPr>
          <w:shd w:val="clear" w:color="auto" w:fill="FFFFFF"/>
          <w:lang w:val="en-US" w:eastAsia="en-US" w:bidi="ar-SA"/>
        </w:rPr>
      </w:pPr>
      <w:proofErr w:type="spellStart"/>
      <w:r w:rsidRPr="00D00231">
        <w:rPr>
          <w:shd w:val="clear" w:color="auto" w:fill="FFFFFF"/>
          <w:lang w:val="en-US" w:eastAsia="en-US" w:bidi="ar-SA"/>
        </w:rPr>
        <w:t>Novy</w:t>
      </w:r>
      <w:proofErr w:type="spellEnd"/>
      <w:r w:rsidRPr="00D00231">
        <w:rPr>
          <w:shd w:val="clear" w:color="auto" w:fill="FFFFFF"/>
          <w:lang w:val="en-US" w:eastAsia="en-US" w:bidi="ar-SA"/>
        </w:rPr>
        <w:t>-Marx 2013 The Other Side of Value: The Gross Profitability Premium Journal of Financial Economics Vol. 108No. 101 Apr April  28</w:t>
      </w:r>
    </w:p>
    <w:p w14:paraId="7A2C5262" w14:textId="01236AD1" w:rsidR="002E2BBD" w:rsidRPr="00905495" w:rsidRDefault="00905495" w:rsidP="00796125">
      <w:pPr>
        <w:tabs>
          <w:tab w:val="left" w:pos="720"/>
        </w:tabs>
        <w:rPr>
          <w:b/>
          <w:bCs/>
          <w:shd w:val="clear" w:color="auto" w:fill="FFFFFF"/>
          <w:lang w:val="en-US" w:eastAsia="en-US" w:bidi="ar-SA"/>
        </w:rPr>
      </w:pPr>
      <w:r w:rsidRPr="00905495">
        <w:rPr>
          <w:b/>
          <w:bCs/>
          <w:shd w:val="clear" w:color="auto" w:fill="FFFFFF"/>
          <w:lang w:val="en-US" w:eastAsia="en-US" w:bidi="ar-SA"/>
        </w:rPr>
        <w:t>Low Volatility</w:t>
      </w:r>
    </w:p>
    <w:p w14:paraId="1977103B" w14:textId="3997FB9C" w:rsidR="00D00231" w:rsidRDefault="00D00231" w:rsidP="00796125">
      <w:pPr>
        <w:tabs>
          <w:tab w:val="left" w:pos="720"/>
        </w:tabs>
      </w:pPr>
      <w:r>
        <w:rPr>
          <w:shd w:val="clear" w:color="auto" w:fill="FFFFFF"/>
          <w:lang w:val="en-US" w:eastAsia="en-US" w:bidi="ar-SA"/>
        </w:rPr>
        <w:t>2</w:t>
      </w:r>
      <w:r w:rsidRPr="007C63F3">
        <w:t xml:space="preserve">014 paper “Betting Against Beta” by </w:t>
      </w:r>
      <w:proofErr w:type="spellStart"/>
      <w:r w:rsidRPr="007C63F3">
        <w:t>Frazzini</w:t>
      </w:r>
      <w:proofErr w:type="spellEnd"/>
      <w:r w:rsidRPr="007C63F3">
        <w:t xml:space="preserve"> and Pedersen </w:t>
      </w:r>
    </w:p>
    <w:p w14:paraId="785BB51E" w14:textId="032B8199" w:rsidR="00D00231" w:rsidRPr="00D00231" w:rsidRDefault="00D00231" w:rsidP="00796125">
      <w:pPr>
        <w:tabs>
          <w:tab w:val="left" w:pos="720"/>
        </w:tabs>
        <w:rPr>
          <w:shd w:val="clear" w:color="auto" w:fill="FFFFFF"/>
          <w:lang w:val="en-US" w:eastAsia="en-US" w:bidi="ar-SA"/>
        </w:rPr>
      </w:pPr>
      <w:r w:rsidRPr="007C63F3">
        <w:t xml:space="preserve">the 2016 study “Understanding Defensive Equity” by </w:t>
      </w:r>
      <w:proofErr w:type="spellStart"/>
      <w:r w:rsidRPr="007C63F3">
        <w:t>Novy</w:t>
      </w:r>
      <w:proofErr w:type="spellEnd"/>
      <w:r w:rsidRPr="007C63F3">
        <w:t>-Marx.</w:t>
      </w:r>
    </w:p>
    <w:p w14:paraId="4A56E5A1" w14:textId="77777777" w:rsidR="002E2BBD" w:rsidRDefault="002E2BBD" w:rsidP="00796125">
      <w:pPr>
        <w:tabs>
          <w:tab w:val="left" w:pos="720"/>
        </w:tabs>
      </w:pPr>
    </w:p>
    <w:p w14:paraId="47F961DA" w14:textId="0569E3DA" w:rsidR="00D00231" w:rsidRDefault="00D00231" w:rsidP="00796125">
      <w:pPr>
        <w:tabs>
          <w:tab w:val="left" w:pos="720"/>
        </w:tabs>
      </w:pPr>
      <w:r>
        <w:t>Barth, Elliott, and Finn (1999) and Green, Hand, and Zhang (2013)</w:t>
      </w:r>
    </w:p>
    <w:p w14:paraId="2D9B77F9" w14:textId="44C015A4" w:rsidR="00D00231" w:rsidRDefault="00D00231" w:rsidP="00796125">
      <w:pPr>
        <w:tabs>
          <w:tab w:val="left" w:pos="720"/>
        </w:tabs>
      </w:pPr>
      <w:r>
        <w:t xml:space="preserve">Cash-based operating profitability, Ball, </w:t>
      </w:r>
      <w:proofErr w:type="spellStart"/>
      <w:r>
        <w:t>Gerakos</w:t>
      </w:r>
      <w:proofErr w:type="spellEnd"/>
      <w:r>
        <w:t xml:space="preserve">, </w:t>
      </w:r>
      <w:proofErr w:type="spellStart"/>
      <w:r>
        <w:t>Linnainmaa</w:t>
      </w:r>
      <w:proofErr w:type="spellEnd"/>
      <w:r>
        <w:t>, and Nikolaev (2016)</w:t>
      </w:r>
    </w:p>
    <w:p w14:paraId="180B0820" w14:textId="77777777" w:rsidR="00D00231" w:rsidRDefault="00D00231" w:rsidP="00796125">
      <w:pPr>
        <w:tabs>
          <w:tab w:val="left" w:pos="720"/>
        </w:tabs>
      </w:pPr>
    </w:p>
    <w:p w14:paraId="4D7EA606" w14:textId="6EF9454A" w:rsidR="00D00231" w:rsidRDefault="00D00231" w:rsidP="00796125">
      <w:pPr>
        <w:tabs>
          <w:tab w:val="left" w:pos="720"/>
        </w:tabs>
      </w:pPr>
      <w:r w:rsidRPr="007C63F3">
        <w:t xml:space="preserve">Following Ball, </w:t>
      </w:r>
      <w:proofErr w:type="spellStart"/>
      <w:r w:rsidRPr="007C63F3">
        <w:t>Gerakos</w:t>
      </w:r>
      <w:proofErr w:type="spellEnd"/>
      <w:r w:rsidRPr="007C63F3">
        <w:t xml:space="preserve">, </w:t>
      </w:r>
      <w:proofErr w:type="spellStart"/>
      <w:r w:rsidRPr="007C63F3">
        <w:t>Linnainmaa</w:t>
      </w:r>
      <w:proofErr w:type="spellEnd"/>
      <w:r w:rsidRPr="007C63F3">
        <w:t>, and Nikolaev (2016),</w:t>
      </w:r>
    </w:p>
    <w:p w14:paraId="321AA3A6" w14:textId="77777777" w:rsidR="00D00231" w:rsidRDefault="00D00231" w:rsidP="00796125">
      <w:pPr>
        <w:tabs>
          <w:tab w:val="left" w:pos="720"/>
        </w:tabs>
      </w:pPr>
      <w:r>
        <w:t xml:space="preserve">Blitz, </w:t>
      </w:r>
      <w:proofErr w:type="spellStart"/>
      <w:r>
        <w:t>Huij</w:t>
      </w:r>
      <w:proofErr w:type="spellEnd"/>
      <w:r>
        <w:t>, and Martens (2011)</w:t>
      </w:r>
    </w:p>
    <w:p w14:paraId="2B3D367E" w14:textId="6660447B" w:rsidR="00D00231" w:rsidRDefault="00D00231" w:rsidP="00796125">
      <w:pPr>
        <w:tabs>
          <w:tab w:val="left" w:pos="720"/>
        </w:tabs>
      </w:pPr>
    </w:p>
    <w:p w14:paraId="1630122E" w14:textId="42CECABC" w:rsidR="00D00231" w:rsidRDefault="00D00231" w:rsidP="00796125">
      <w:pPr>
        <w:tabs>
          <w:tab w:val="left" w:pos="720"/>
        </w:tabs>
      </w:pPr>
      <w:r w:rsidRPr="00EA265F">
        <w:t>Jim O’Shaughnessy in his book “What Works on Wall Street”</w:t>
      </w:r>
      <w:r w:rsidRPr="003428CB">
        <w:t xml:space="preserve"> </w:t>
      </w:r>
      <w:r>
        <w:t>o</w:t>
      </w:r>
      <w:r w:rsidRPr="003428CB">
        <w:t>riginally published</w:t>
      </w:r>
      <w:r>
        <w:t xml:space="preserve"> in </w:t>
      </w:r>
      <w:r w:rsidRPr="003428CB">
        <w:t>1997</w:t>
      </w:r>
      <w:r>
        <w:t>.</w:t>
      </w:r>
    </w:p>
    <w:p w14:paraId="32684A7D" w14:textId="65FE64D1" w:rsidR="00D00231" w:rsidRDefault="00D00231" w:rsidP="00796125">
      <w:pPr>
        <w:tabs>
          <w:tab w:val="left" w:pos="720"/>
        </w:tabs>
      </w:pPr>
    </w:p>
    <w:p w14:paraId="147D0DAF" w14:textId="1C82A05C" w:rsidR="00D00231" w:rsidRDefault="00D00231" w:rsidP="00796125">
      <w:pPr>
        <w:tabs>
          <w:tab w:val="left" w:pos="720"/>
        </w:tabs>
      </w:pPr>
    </w:p>
    <w:p w14:paraId="5A4E9C39" w14:textId="14CC1665" w:rsidR="00D00231" w:rsidRDefault="00D00231" w:rsidP="00796125">
      <w:pPr>
        <w:tabs>
          <w:tab w:val="left" w:pos="720"/>
        </w:tabs>
      </w:pPr>
    </w:p>
    <w:p w14:paraId="7483D271" w14:textId="77777777" w:rsidR="00D00231" w:rsidRPr="00D00231" w:rsidRDefault="00D00231" w:rsidP="00796125">
      <w:pPr>
        <w:tabs>
          <w:tab w:val="left" w:pos="720"/>
        </w:tabs>
        <w:rPr>
          <w:shd w:val="clear" w:color="auto" w:fill="FFFFFF"/>
          <w:lang w:val="en-US" w:eastAsia="en-US" w:bidi="ar-SA"/>
        </w:rPr>
      </w:pPr>
    </w:p>
    <w:p w14:paraId="3A35AB26" w14:textId="77777777" w:rsidR="00D00231" w:rsidRPr="00D00231" w:rsidRDefault="00D00231" w:rsidP="00796125">
      <w:pPr>
        <w:tabs>
          <w:tab w:val="left" w:pos="720"/>
        </w:tabs>
        <w:rPr>
          <w:shd w:val="clear" w:color="auto" w:fill="FFFFFF"/>
          <w:lang w:val="en-US" w:eastAsia="en-US" w:bidi="ar-SA"/>
        </w:rPr>
      </w:pPr>
      <w:r w:rsidRPr="00D00231">
        <w:rPr>
          <w:shd w:val="clear" w:color="auto" w:fill="FFFFFF"/>
          <w:lang w:val="en-US" w:eastAsia="en-US" w:bidi="ar-SA"/>
        </w:rPr>
        <w:br w:type="page"/>
      </w:r>
    </w:p>
    <w:p w14:paraId="4AE0533B" w14:textId="452BBE70" w:rsidR="00365786" w:rsidRDefault="00730DFD" w:rsidP="00796125">
      <w:pPr>
        <w:pStyle w:val="Heading1"/>
        <w:numPr>
          <w:ilvl w:val="0"/>
          <w:numId w:val="23"/>
        </w:numPr>
        <w:tabs>
          <w:tab w:val="left" w:pos="720"/>
        </w:tabs>
        <w:spacing w:before="240"/>
        <w:ind w:left="0" w:hanging="540"/>
      </w:pPr>
      <w:r>
        <w:lastRenderedPageBreak/>
        <w:t>Appendix:</w:t>
      </w:r>
    </w:p>
    <w:p w14:paraId="504EF0E5" w14:textId="77777777" w:rsidR="00730DFD" w:rsidRPr="00381B3E" w:rsidRDefault="00730DFD" w:rsidP="00796125">
      <w:pPr>
        <w:pStyle w:val="Heading3"/>
        <w:keepNext/>
        <w:widowControl/>
        <w:tabs>
          <w:tab w:val="left" w:pos="720"/>
        </w:tabs>
      </w:pPr>
      <w:r w:rsidRPr="00381B3E">
        <w:t>Definitions</w:t>
      </w:r>
      <w:r>
        <w:t>:</w:t>
      </w:r>
    </w:p>
    <w:p w14:paraId="7F7C534F" w14:textId="77777777" w:rsidR="00730DFD" w:rsidRDefault="00730DFD" w:rsidP="00796125">
      <w:pPr>
        <w:pStyle w:val="NoSpacing"/>
        <w:tabs>
          <w:tab w:val="left" w:pos="540"/>
          <w:tab w:val="left" w:pos="720"/>
        </w:tabs>
      </w:pPr>
      <w:r>
        <w:t xml:space="preserve">Book Value </w:t>
      </w:r>
    </w:p>
    <w:p w14:paraId="5F9500E6" w14:textId="0D408084" w:rsidR="00730DFD" w:rsidRDefault="007C63F3" w:rsidP="00796125">
      <w:pPr>
        <w:pStyle w:val="NoSpacing"/>
        <w:tabs>
          <w:tab w:val="left" w:pos="540"/>
          <w:tab w:val="left" w:pos="720"/>
        </w:tabs>
      </w:pPr>
      <w:r>
        <w:tab/>
      </w:r>
      <w:r w:rsidR="00730DFD">
        <w:t xml:space="preserve">= Shareholder Equity </w:t>
      </w:r>
    </w:p>
    <w:p w14:paraId="7250537D" w14:textId="3184E2E3" w:rsidR="00730DFD" w:rsidRDefault="007C63F3" w:rsidP="00796125">
      <w:pPr>
        <w:pStyle w:val="NoSpacing"/>
        <w:tabs>
          <w:tab w:val="left" w:pos="540"/>
          <w:tab w:val="left" w:pos="720"/>
        </w:tabs>
      </w:pPr>
      <w:r>
        <w:tab/>
      </w:r>
      <w:r w:rsidR="00730DFD">
        <w:t>= Total Assets – Total Liabilities</w:t>
      </w:r>
    </w:p>
    <w:p w14:paraId="260A9B44" w14:textId="77777777" w:rsidR="00730DFD" w:rsidRDefault="00730DFD" w:rsidP="00796125">
      <w:pPr>
        <w:pStyle w:val="NoSpacing"/>
        <w:tabs>
          <w:tab w:val="left" w:pos="540"/>
          <w:tab w:val="left" w:pos="720"/>
        </w:tabs>
      </w:pPr>
      <w:r>
        <w:t xml:space="preserve">Market Equity </w:t>
      </w:r>
    </w:p>
    <w:p w14:paraId="7FF33FFD" w14:textId="0328915D" w:rsidR="00730DFD" w:rsidRDefault="007C63F3" w:rsidP="00796125">
      <w:pPr>
        <w:pStyle w:val="NoSpacing"/>
        <w:tabs>
          <w:tab w:val="left" w:pos="540"/>
          <w:tab w:val="left" w:pos="720"/>
        </w:tabs>
      </w:pPr>
      <w:r>
        <w:tab/>
      </w:r>
      <w:r w:rsidR="00730DFD">
        <w:t>= Market Capitalization</w:t>
      </w:r>
    </w:p>
    <w:p w14:paraId="60CF9E0A" w14:textId="75B5EE10" w:rsidR="00730DFD" w:rsidRDefault="00730DFD" w:rsidP="00796125">
      <w:pPr>
        <w:pStyle w:val="NoSpacing"/>
        <w:tabs>
          <w:tab w:val="left" w:pos="540"/>
          <w:tab w:val="left" w:pos="720"/>
        </w:tabs>
      </w:pPr>
      <w:r>
        <w:t xml:space="preserve">Operating Profit </w:t>
      </w:r>
    </w:p>
    <w:p w14:paraId="17EEDF3F" w14:textId="6C62562D" w:rsidR="00730DFD" w:rsidRDefault="007C63F3" w:rsidP="00796125">
      <w:pPr>
        <w:pStyle w:val="NoSpacing"/>
        <w:tabs>
          <w:tab w:val="left" w:pos="540"/>
          <w:tab w:val="left" w:pos="720"/>
        </w:tabs>
      </w:pPr>
      <w:r>
        <w:tab/>
      </w:r>
      <w:r w:rsidR="00730DFD">
        <w:t xml:space="preserve">= EBIT </w:t>
      </w:r>
    </w:p>
    <w:p w14:paraId="41F71FCB" w14:textId="7FE0087F" w:rsidR="00730DFD" w:rsidRDefault="007C63F3" w:rsidP="00796125">
      <w:pPr>
        <w:pStyle w:val="NoSpacing"/>
        <w:tabs>
          <w:tab w:val="left" w:pos="540"/>
          <w:tab w:val="left" w:pos="720"/>
        </w:tabs>
      </w:pPr>
      <w:r>
        <w:tab/>
      </w:r>
      <w:r w:rsidR="00730DFD">
        <w:t xml:space="preserve">= </w:t>
      </w:r>
      <w:r w:rsidR="00730DFD" w:rsidRPr="00381B3E">
        <w:t>Operating Profit before Non-Recurring Income/Expense</w:t>
      </w:r>
      <w:r w:rsidR="00730DFD">
        <w:t xml:space="preserve"> </w:t>
      </w:r>
    </w:p>
    <w:p w14:paraId="1A557D45" w14:textId="6B24EC7E" w:rsidR="007C63F3" w:rsidRDefault="007C63F3" w:rsidP="00796125">
      <w:pPr>
        <w:pStyle w:val="NoSpacing"/>
        <w:tabs>
          <w:tab w:val="left" w:pos="540"/>
          <w:tab w:val="left" w:pos="720"/>
        </w:tabs>
      </w:pPr>
      <w:r>
        <w:tab/>
      </w:r>
      <w:r w:rsidR="00730DFD">
        <w:t>=Total Revenue – Operating Expenses</w:t>
      </w:r>
    </w:p>
    <w:p w14:paraId="374D03F0" w14:textId="77777777" w:rsidR="00730DFD" w:rsidRDefault="00730DFD" w:rsidP="00796125">
      <w:pPr>
        <w:pStyle w:val="NoSpacing"/>
        <w:tabs>
          <w:tab w:val="left" w:pos="540"/>
          <w:tab w:val="left" w:pos="720"/>
        </w:tabs>
      </w:pPr>
      <w:r>
        <w:t xml:space="preserve">EBIT Actual </w:t>
      </w:r>
    </w:p>
    <w:p w14:paraId="209CE45B" w14:textId="3C89639D" w:rsidR="00730DFD" w:rsidRDefault="007C63F3" w:rsidP="00796125">
      <w:pPr>
        <w:pStyle w:val="NoSpacing"/>
        <w:tabs>
          <w:tab w:val="left" w:pos="540"/>
          <w:tab w:val="left" w:pos="720"/>
        </w:tabs>
      </w:pPr>
      <w:r>
        <w:tab/>
      </w:r>
      <w:r w:rsidR="00730DFD">
        <w:t>in general (Pre-Tax income + Interest expense – interest capitalized)</w:t>
      </w:r>
    </w:p>
    <w:p w14:paraId="6D12A0BA" w14:textId="77777777" w:rsidR="00730DFD" w:rsidRDefault="00730DFD" w:rsidP="00796125">
      <w:pPr>
        <w:pStyle w:val="NoSpacing"/>
        <w:tabs>
          <w:tab w:val="left" w:pos="540"/>
          <w:tab w:val="left" w:pos="720"/>
        </w:tabs>
      </w:pPr>
      <w:r>
        <w:t xml:space="preserve">COGS </w:t>
      </w:r>
    </w:p>
    <w:p w14:paraId="7EACE1CC" w14:textId="7DE92B32" w:rsidR="00730DFD" w:rsidRDefault="007C63F3" w:rsidP="00796125">
      <w:pPr>
        <w:pStyle w:val="NoSpacing"/>
        <w:tabs>
          <w:tab w:val="left" w:pos="540"/>
          <w:tab w:val="left" w:pos="720"/>
        </w:tabs>
      </w:pPr>
      <w:r>
        <w:tab/>
      </w:r>
      <w:r w:rsidR="00730DFD">
        <w:t xml:space="preserve">= Cost of Goods Sold (only applicable to companies that sell a goods. This primarily excludes </w:t>
      </w:r>
      <w:r>
        <w:tab/>
      </w:r>
      <w:r w:rsidR="00730DFD">
        <w:t>Financial Services (Insurance, Banks)</w:t>
      </w:r>
    </w:p>
    <w:p w14:paraId="6935F903" w14:textId="235C6DF9" w:rsidR="00730DFD" w:rsidRDefault="00231C0F" w:rsidP="00796125">
      <w:pPr>
        <w:pStyle w:val="NoSpacing"/>
        <w:tabs>
          <w:tab w:val="left" w:pos="540"/>
          <w:tab w:val="left" w:pos="720"/>
        </w:tabs>
      </w:pPr>
      <w:r>
        <w:t>Zhang “</w:t>
      </w:r>
      <w:r w:rsidR="00730DFD">
        <w:t>Income before Extraordinary Items</w:t>
      </w:r>
      <w:r>
        <w:t>”</w:t>
      </w:r>
    </w:p>
    <w:p w14:paraId="287BFFD8" w14:textId="0D9EB71F" w:rsidR="00730DFD" w:rsidRDefault="007C63F3" w:rsidP="00796125">
      <w:pPr>
        <w:pStyle w:val="NoSpacing"/>
        <w:tabs>
          <w:tab w:val="left" w:pos="540"/>
          <w:tab w:val="left" w:pos="720"/>
        </w:tabs>
      </w:pPr>
      <w:r>
        <w:tab/>
      </w:r>
      <w:r w:rsidR="00730DFD">
        <w:t>= Net Income After Tax</w:t>
      </w:r>
    </w:p>
    <w:p w14:paraId="3812C44E" w14:textId="15F3EE79" w:rsidR="00730DFD" w:rsidRDefault="00730DFD" w:rsidP="00796125">
      <w:pPr>
        <w:pStyle w:val="NoSpacing"/>
        <w:tabs>
          <w:tab w:val="left" w:pos="540"/>
          <w:tab w:val="left" w:pos="720"/>
        </w:tabs>
      </w:pPr>
      <w:r>
        <w:tab/>
        <w:t xml:space="preserve">= </w:t>
      </w:r>
      <w:r w:rsidR="00231C0F">
        <w:t>“</w:t>
      </w:r>
      <w:r>
        <w:t>Income before Discontinued Operations and Extraordinary Items</w:t>
      </w:r>
      <w:r w:rsidR="00231C0F">
        <w:t>”</w:t>
      </w:r>
    </w:p>
    <w:p w14:paraId="4301BF13" w14:textId="1FB09DB6" w:rsidR="00730DFD" w:rsidRDefault="007C63F3" w:rsidP="00796125">
      <w:pPr>
        <w:pStyle w:val="NoSpacing"/>
        <w:tabs>
          <w:tab w:val="left" w:pos="540"/>
          <w:tab w:val="left" w:pos="720"/>
        </w:tabs>
      </w:pPr>
      <w:r>
        <w:tab/>
      </w:r>
      <w:r w:rsidR="00730DFD">
        <w:t>= “income before extraordinary items”</w:t>
      </w:r>
    </w:p>
    <w:p w14:paraId="350C1478" w14:textId="5636F828" w:rsidR="00730DFD" w:rsidRDefault="007C63F3" w:rsidP="00796125">
      <w:pPr>
        <w:pStyle w:val="NoSpacing"/>
        <w:tabs>
          <w:tab w:val="left" w:pos="540"/>
          <w:tab w:val="left" w:pos="720"/>
        </w:tabs>
      </w:pPr>
      <w:r>
        <w:tab/>
      </w:r>
      <w:r w:rsidR="00730DFD">
        <w:t>= “Quarterly earnings are income before extraordinary items”</w:t>
      </w:r>
    </w:p>
    <w:p w14:paraId="7F5EBED2" w14:textId="46716C44" w:rsidR="00365786" w:rsidRDefault="00730DFD" w:rsidP="00796125">
      <w:pPr>
        <w:pStyle w:val="Heading3"/>
        <w:keepNext/>
        <w:widowControl/>
        <w:tabs>
          <w:tab w:val="left" w:pos="720"/>
        </w:tabs>
      </w:pPr>
      <w:r>
        <w:t>Income Statement Summary:</w:t>
      </w:r>
    </w:p>
    <w:p w14:paraId="6B0048AD" w14:textId="77777777" w:rsidR="00730DFD" w:rsidRPr="00AA1DEA" w:rsidRDefault="00730DFD" w:rsidP="00796125">
      <w:pPr>
        <w:pStyle w:val="NoSpacing"/>
        <w:tabs>
          <w:tab w:val="left" w:pos="720"/>
        </w:tabs>
        <w:rPr>
          <w:b/>
          <w:bCs/>
        </w:rPr>
      </w:pPr>
      <w:r w:rsidRPr="00AA1DEA">
        <w:rPr>
          <w:b/>
          <w:bCs/>
        </w:rPr>
        <w:t xml:space="preserve">Total Revenue </w:t>
      </w:r>
    </w:p>
    <w:p w14:paraId="04F0FAFB" w14:textId="77777777" w:rsidR="00730DFD" w:rsidRDefault="00730DFD" w:rsidP="00796125">
      <w:pPr>
        <w:pStyle w:val="NoSpacing"/>
        <w:tabs>
          <w:tab w:val="left" w:pos="720"/>
        </w:tabs>
      </w:pPr>
      <w:r>
        <w:t>minus [Operating Expenses: Cost of Operating Revenue + Selling, General &amp; Administrative Expenses]</w:t>
      </w:r>
    </w:p>
    <w:p w14:paraId="2BD9127A" w14:textId="77777777" w:rsidR="00730DFD" w:rsidRDefault="00730DFD" w:rsidP="00796125">
      <w:pPr>
        <w:pStyle w:val="NoSpacing"/>
        <w:tabs>
          <w:tab w:val="left" w:pos="720"/>
        </w:tabs>
      </w:pPr>
      <w:r>
        <w:t xml:space="preserve"> = Operating Profit</w:t>
      </w:r>
    </w:p>
    <w:p w14:paraId="41A69B00" w14:textId="77777777" w:rsidR="00730DFD" w:rsidRDefault="00730DFD" w:rsidP="00796125">
      <w:pPr>
        <w:pStyle w:val="NoSpacing"/>
        <w:tabs>
          <w:tab w:val="left" w:pos="720"/>
        </w:tabs>
      </w:pPr>
    </w:p>
    <w:p w14:paraId="2F95302F" w14:textId="77777777" w:rsidR="00730DFD" w:rsidRPr="00AA1DEA" w:rsidRDefault="00730DFD" w:rsidP="00796125">
      <w:pPr>
        <w:pStyle w:val="NoSpacing"/>
        <w:tabs>
          <w:tab w:val="left" w:pos="720"/>
        </w:tabs>
        <w:rPr>
          <w:b/>
          <w:bCs/>
        </w:rPr>
      </w:pPr>
      <w:r w:rsidRPr="00AA1DEA">
        <w:rPr>
          <w:b/>
          <w:bCs/>
        </w:rPr>
        <w:t xml:space="preserve">Operating Profit </w:t>
      </w:r>
    </w:p>
    <w:p w14:paraId="0966451B" w14:textId="77777777" w:rsidR="00730DFD" w:rsidRDefault="00730DFD" w:rsidP="00796125">
      <w:pPr>
        <w:pStyle w:val="NoSpacing"/>
        <w:tabs>
          <w:tab w:val="left" w:pos="720"/>
        </w:tabs>
      </w:pPr>
      <w:r>
        <w:t>minus Non-Operating Expenses (including Interest Expense/Income)</w:t>
      </w:r>
    </w:p>
    <w:p w14:paraId="3375E1F8" w14:textId="77777777" w:rsidR="00730DFD" w:rsidRDefault="00730DFD" w:rsidP="00796125">
      <w:pPr>
        <w:pStyle w:val="NoSpacing"/>
        <w:tabs>
          <w:tab w:val="left" w:pos="720"/>
        </w:tabs>
      </w:pPr>
      <w:r>
        <w:t>minus Non-Recurring Income/Expense</w:t>
      </w:r>
    </w:p>
    <w:p w14:paraId="4C6AB3AC" w14:textId="77777777" w:rsidR="00730DFD" w:rsidRDefault="00730DFD" w:rsidP="00796125">
      <w:pPr>
        <w:pStyle w:val="NoSpacing"/>
        <w:tabs>
          <w:tab w:val="left" w:pos="720"/>
        </w:tabs>
      </w:pPr>
      <w:r>
        <w:t>= Pre-Tax Income</w:t>
      </w:r>
    </w:p>
    <w:p w14:paraId="347B9963" w14:textId="77777777" w:rsidR="00730DFD" w:rsidRDefault="00730DFD" w:rsidP="00796125">
      <w:pPr>
        <w:pStyle w:val="NoSpacing"/>
        <w:tabs>
          <w:tab w:val="left" w:pos="720"/>
        </w:tabs>
      </w:pPr>
    </w:p>
    <w:p w14:paraId="04B844E2" w14:textId="77777777" w:rsidR="00730DFD" w:rsidRPr="00AA1DEA" w:rsidRDefault="00730DFD" w:rsidP="00796125">
      <w:pPr>
        <w:pStyle w:val="NoSpacing"/>
        <w:tabs>
          <w:tab w:val="left" w:pos="720"/>
        </w:tabs>
        <w:rPr>
          <w:b/>
          <w:bCs/>
        </w:rPr>
      </w:pPr>
      <w:r w:rsidRPr="00AA1DEA">
        <w:rPr>
          <w:b/>
          <w:bCs/>
        </w:rPr>
        <w:t>Pre-Tax Income</w:t>
      </w:r>
    </w:p>
    <w:p w14:paraId="2C374461" w14:textId="77777777" w:rsidR="00730DFD" w:rsidRDefault="00730DFD" w:rsidP="00796125">
      <w:pPr>
        <w:pStyle w:val="NoSpacing"/>
        <w:tabs>
          <w:tab w:val="left" w:pos="720"/>
        </w:tabs>
      </w:pPr>
      <w:r>
        <w:t>minus Taxes</w:t>
      </w:r>
    </w:p>
    <w:p w14:paraId="5F471281" w14:textId="77777777" w:rsidR="00730DFD" w:rsidRDefault="00730DFD" w:rsidP="00796125">
      <w:pPr>
        <w:pStyle w:val="NoSpacing"/>
        <w:tabs>
          <w:tab w:val="left" w:pos="720"/>
        </w:tabs>
      </w:pPr>
      <w:r>
        <w:t>= Net Income After Tax</w:t>
      </w:r>
    </w:p>
    <w:p w14:paraId="449DD3D4" w14:textId="77777777" w:rsidR="00730DFD" w:rsidRDefault="00730DFD" w:rsidP="00796125">
      <w:pPr>
        <w:pStyle w:val="NoSpacing"/>
        <w:tabs>
          <w:tab w:val="left" w:pos="720"/>
        </w:tabs>
      </w:pPr>
    </w:p>
    <w:p w14:paraId="75D4343E" w14:textId="77777777" w:rsidR="00730DFD" w:rsidRPr="00AA1DEA" w:rsidRDefault="00730DFD" w:rsidP="00796125">
      <w:pPr>
        <w:pStyle w:val="NoSpacing"/>
        <w:tabs>
          <w:tab w:val="left" w:pos="720"/>
        </w:tabs>
        <w:rPr>
          <w:b/>
          <w:bCs/>
        </w:rPr>
      </w:pPr>
      <w:r w:rsidRPr="00AA1DEA">
        <w:rPr>
          <w:b/>
          <w:bCs/>
        </w:rPr>
        <w:t>Net Income After Tax</w:t>
      </w:r>
    </w:p>
    <w:p w14:paraId="68E5329F" w14:textId="77777777" w:rsidR="00730DFD" w:rsidRDefault="00730DFD" w:rsidP="00796125">
      <w:pPr>
        <w:pStyle w:val="NoSpacing"/>
        <w:tabs>
          <w:tab w:val="left" w:pos="720"/>
        </w:tabs>
      </w:pPr>
      <w:r>
        <w:t>minus Extraordinary Activities (after tax)</w:t>
      </w:r>
    </w:p>
    <w:p w14:paraId="6D7C5054" w14:textId="73C74F86" w:rsidR="007E7ACD" w:rsidRDefault="00730DFD" w:rsidP="00796125">
      <w:pPr>
        <w:pStyle w:val="NoSpacing"/>
        <w:tabs>
          <w:tab w:val="left" w:pos="720"/>
        </w:tabs>
      </w:pPr>
      <w:r>
        <w:t>= Net Income</w:t>
      </w:r>
    </w:p>
    <w:p w14:paraId="4042B9F2" w14:textId="7C7FDF1B" w:rsidR="00984A0C" w:rsidRPr="00984A0C" w:rsidRDefault="00984A0C" w:rsidP="00796125">
      <w:pPr>
        <w:pStyle w:val="Heading1"/>
        <w:numPr>
          <w:ilvl w:val="0"/>
          <w:numId w:val="23"/>
        </w:numPr>
        <w:tabs>
          <w:tab w:val="left" w:pos="720"/>
        </w:tabs>
        <w:spacing w:before="240"/>
        <w:ind w:left="0" w:hanging="540"/>
      </w:pPr>
      <w:r w:rsidRPr="00984A0C">
        <w:t>Compliance</w:t>
      </w:r>
    </w:p>
    <w:p w14:paraId="15DEC1F1" w14:textId="4E4EF42C" w:rsidR="00984A0C" w:rsidRDefault="00984A0C" w:rsidP="00796125">
      <w:pPr>
        <w:tabs>
          <w:tab w:val="left" w:pos="720"/>
        </w:tabs>
      </w:pPr>
      <w:r>
        <w:t xml:space="preserve">The views and opinions expressed herein are those of the author and do not necessarily reflect the views of Hempel Wealth Management LLC its affiliates or its employees. </w:t>
      </w:r>
    </w:p>
    <w:p w14:paraId="63017055" w14:textId="77777777" w:rsidR="00984A0C" w:rsidRDefault="00984A0C" w:rsidP="00796125">
      <w:pPr>
        <w:tabs>
          <w:tab w:val="left" w:pos="720"/>
        </w:tabs>
      </w:pPr>
      <w:r>
        <w:t xml:space="preserve">This document has been provided to you solely for information purposes and does not constitute an offer or solicitation of an offer or any advice or recommendation to purchase any securities or other </w:t>
      </w:r>
      <w:r>
        <w:lastRenderedPageBreak/>
        <w:t xml:space="preserve">financial instruments and may not be construed as such. </w:t>
      </w:r>
    </w:p>
    <w:p w14:paraId="504845BA" w14:textId="7FA7CA1B" w:rsidR="00984A0C" w:rsidRDefault="00984A0C" w:rsidP="00796125">
      <w:pPr>
        <w:tabs>
          <w:tab w:val="left" w:pos="720"/>
        </w:tabs>
      </w:pPr>
      <w:r>
        <w:t xml:space="preserve">The investment strategy and themes discussed herein maybe unsuitable for investors depending on their specific investment objectives and financial situation. Diversification does not eliminate the risk of experiencing investment losses. </w:t>
      </w:r>
    </w:p>
    <w:p w14:paraId="726A4962" w14:textId="728E1854" w:rsidR="00984A0C" w:rsidRDefault="00984A0C" w:rsidP="00796125">
      <w:pPr>
        <w:tabs>
          <w:tab w:val="left" w:pos="720"/>
        </w:tabs>
      </w:pPr>
      <w:r>
        <w:t xml:space="preserve">Please note that changes in the rate of exchange of a currency may affect the value, price or income of an investment adversely. </w:t>
      </w:r>
    </w:p>
    <w:p w14:paraId="175D8900" w14:textId="7A5D9000" w:rsidR="00984A0C" w:rsidRDefault="00984A0C" w:rsidP="00796125">
      <w:pPr>
        <w:tabs>
          <w:tab w:val="left" w:pos="720"/>
        </w:tabs>
      </w:pPr>
      <w:r>
        <w:t xml:space="preserve">The factual information set forth herein has been obtained or derived from sources believed by the author and Hempel Wealth Management LLC to be reliable but it is not necessarily all-inclusive and is not guaranteed as to its accuracy and is not to be regarded as a representation or warranty, express or implied, as to the information’s accuracy or completeness, nor should the attached information serve as the basis of any investment decision. </w:t>
      </w:r>
    </w:p>
    <w:p w14:paraId="24B3E844" w14:textId="24E24428" w:rsidR="00984A0C" w:rsidRDefault="00984A0C" w:rsidP="00796125">
      <w:pPr>
        <w:tabs>
          <w:tab w:val="left" w:pos="720"/>
        </w:tabs>
      </w:pPr>
      <w:r>
        <w:t xml:space="preserve">Information contained on third party websites that Hempel Wealth Management LLC may link to are not reviewed in their entirety for accuracy and Hempel Wealth Management LLC assumes no liability for the information contained on these websites. </w:t>
      </w:r>
    </w:p>
    <w:p w14:paraId="48B5EF6C" w14:textId="6F5ED8E6" w:rsidR="00984A0C" w:rsidRPr="00984A0C" w:rsidRDefault="00984A0C" w:rsidP="00796125">
      <w:pPr>
        <w:tabs>
          <w:tab w:val="left" w:pos="720"/>
        </w:tabs>
      </w:pPr>
      <w:r>
        <w:t>No part of this material maybe reproduced in any form, or referred to in any other publication, without express written permission from Hempel Wealth Management LLC.</w:t>
      </w:r>
    </w:p>
    <w:sectPr w:rsidR="00984A0C" w:rsidRPr="00984A0C" w:rsidSect="00796125">
      <w:headerReference w:type="default" r:id="rId24"/>
      <w:footerReference w:type="default" r:id="rId25"/>
      <w:pgSz w:w="12240" w:h="15840"/>
      <w:pgMar w:top="1440" w:right="1440" w:bottom="1440" w:left="1440" w:header="576" w:footer="432"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lake Hempel" w:date="2023-03-04T13:59:00Z" w:initials="BH">
    <w:p w14:paraId="7BE70161" w14:textId="77777777" w:rsidR="00EA0CED" w:rsidRDefault="00EA0CED" w:rsidP="00C87D61">
      <w:pPr>
        <w:pStyle w:val="CommentText"/>
      </w:pPr>
      <w:r>
        <w:rPr>
          <w:rStyle w:val="CommentReference"/>
        </w:rPr>
        <w:annotationRef/>
      </w:r>
      <w:r>
        <w:t>What are AQRs other Factors?</w:t>
      </w:r>
    </w:p>
  </w:comment>
  <w:comment w:id="2" w:author="Blake Hempel" w:date="2023-03-04T13:59:00Z" w:initials="BH">
    <w:p w14:paraId="3258588B" w14:textId="77777777" w:rsidR="00EA0CED" w:rsidRDefault="00EA0CED" w:rsidP="000922CF">
      <w:pPr>
        <w:pStyle w:val="CommentText"/>
      </w:pPr>
      <w:r>
        <w:rPr>
          <w:rStyle w:val="CommentReference"/>
        </w:rPr>
        <w:annotationRef/>
      </w:r>
      <w:r>
        <w:t>Carry?</w:t>
      </w:r>
    </w:p>
  </w:comment>
  <w:comment w:id="3" w:author="Blake Hempel" w:date="2023-03-04T14:00:00Z" w:initials="BH">
    <w:p w14:paraId="40C270B6" w14:textId="77777777" w:rsidR="00EA0CED" w:rsidRDefault="00EA0CED" w:rsidP="00A256AB">
      <w:pPr>
        <w:pStyle w:val="CommentText"/>
      </w:pPr>
      <w:r>
        <w:rPr>
          <w:rStyle w:val="CommentReference"/>
        </w:rPr>
        <w:annotationRef/>
      </w:r>
      <w:r>
        <w:t>Defensive / Low Risk?</w:t>
      </w:r>
    </w:p>
  </w:comment>
  <w:comment w:id="5" w:author="Blake Hempel" w:date="2023-03-02T16:06:00Z" w:initials="BH">
    <w:p w14:paraId="6F670C15" w14:textId="33546966" w:rsidR="001C7575" w:rsidRDefault="001C7575" w:rsidP="00264042">
      <w:pPr>
        <w:pStyle w:val="CommentText"/>
      </w:pPr>
      <w:r>
        <w:rPr>
          <w:rStyle w:val="CommentReference"/>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E70161" w15:done="0"/>
  <w15:commentEx w15:paraId="3258588B" w15:paraIdParent="7BE70161" w15:done="0"/>
  <w15:commentEx w15:paraId="40C270B6" w15:paraIdParent="7BE70161" w15:done="0"/>
  <w15:commentEx w15:paraId="6F670C1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DCD44" w16cex:dateUtc="2023-03-04T19:59:00Z"/>
  <w16cex:commentExtensible w16cex:durableId="27ADCD50" w16cex:dateUtc="2023-03-04T19:59:00Z"/>
  <w16cex:commentExtensible w16cex:durableId="27ADCD70" w16cex:dateUtc="2023-03-04T20:00:00Z"/>
  <w16cex:commentExtensible w16cex:durableId="27AB481A" w16cex:dateUtc="2023-03-02T2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E70161" w16cid:durableId="27ADCD44"/>
  <w16cid:commentId w16cid:paraId="3258588B" w16cid:durableId="27ADCD50"/>
  <w16cid:commentId w16cid:paraId="40C270B6" w16cid:durableId="27ADCD70"/>
  <w16cid:commentId w16cid:paraId="6F670C15" w16cid:durableId="27AB48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4A08C" w14:textId="77777777" w:rsidR="006C0B2E" w:rsidRDefault="006C0B2E" w:rsidP="00C33B01">
      <w:r>
        <w:separator/>
      </w:r>
    </w:p>
  </w:endnote>
  <w:endnote w:type="continuationSeparator" w:id="0">
    <w:p w14:paraId="2C1EB581" w14:textId="77777777" w:rsidR="006C0B2E" w:rsidRDefault="006C0B2E" w:rsidP="00C33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1"/>
    <w:family w:val="roman"/>
    <w:pitch w:val="variable"/>
  </w:font>
  <w:font w:name="DejaVu Sans">
    <w:altName w:val="Times New Roman"/>
    <w:charset w:val="01"/>
    <w:family w:val="auto"/>
    <w:pitch w:val="variable"/>
  </w:font>
  <w:font w:name="Albany">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opernicus-Roman">
    <w:altName w:val="Cambria"/>
    <w:panose1 w:val="00000000000000000000"/>
    <w:charset w:val="00"/>
    <w:family w:val="roman"/>
    <w:notTrueType/>
    <w:pitch w:val="default"/>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85A5F" w14:textId="3FA3871F" w:rsidR="008D1631" w:rsidRPr="008C6946" w:rsidRDefault="008D1631" w:rsidP="00E670E7">
    <w:pPr>
      <w:pStyle w:val="Footer"/>
      <w:spacing w:before="0"/>
      <w:rPr>
        <w:color w:val="595959" w:themeColor="text1" w:themeTint="A6"/>
      </w:rPr>
    </w:pPr>
    <w:r w:rsidRPr="008C6946">
      <w:rPr>
        <w:color w:val="595959" w:themeColor="text1" w:themeTint="A6"/>
      </w:rPr>
      <w:t>Hempel Wealth Management LLC</w:t>
    </w:r>
    <w:r w:rsidR="00B57C11">
      <w:rPr>
        <w:color w:val="595959" w:themeColor="text1" w:themeTint="A6"/>
      </w:rPr>
      <w:tab/>
    </w:r>
    <w:r w:rsidRPr="008C6946">
      <w:rPr>
        <w:color w:val="595959" w:themeColor="text1" w:themeTint="A6"/>
      </w:rPr>
      <w:tab/>
    </w:r>
  </w:p>
  <w:p w14:paraId="3D1048BB" w14:textId="29E10213" w:rsidR="00B57C11" w:rsidRPr="008C6946" w:rsidRDefault="00000000" w:rsidP="00B57C11">
    <w:pPr>
      <w:pStyle w:val="Footer"/>
      <w:spacing w:before="0"/>
      <w:rPr>
        <w:color w:val="595959" w:themeColor="text1" w:themeTint="A6"/>
      </w:rPr>
    </w:pPr>
    <w:hyperlink r:id="rId1" w:history="1">
      <w:r w:rsidR="00B57C11" w:rsidRPr="008C6946">
        <w:rPr>
          <w:color w:val="595959" w:themeColor="text1" w:themeTint="A6"/>
        </w:rPr>
        <w:t>HempelWealth.com</w:t>
      </w:r>
    </w:hyperlink>
    <w:r w:rsidR="00B57C11">
      <w:rPr>
        <w:color w:val="595959" w:themeColor="text1" w:themeTint="A6"/>
      </w:rPr>
      <w:tab/>
    </w:r>
    <w:r w:rsidR="00B57C11">
      <w:rPr>
        <w:color w:val="595959" w:themeColor="text1" w:themeTint="A6"/>
      </w:rPr>
      <w:tab/>
    </w:r>
    <w:r w:rsidR="00B57C11" w:rsidRPr="008C6946">
      <w:rPr>
        <w:color w:val="595959" w:themeColor="text1" w:themeTint="A6"/>
      </w:rPr>
      <w:t>Registered Investment Advisor</w:t>
    </w:r>
  </w:p>
  <w:p w14:paraId="3B2FADD4" w14:textId="167B59D8" w:rsidR="008D1631" w:rsidRPr="008C6946" w:rsidRDefault="00B57C11" w:rsidP="00DA6547">
    <w:pPr>
      <w:pStyle w:val="Footer"/>
      <w:spacing w:before="0"/>
      <w:rPr>
        <w:color w:val="595959" w:themeColor="text1" w:themeTint="A6"/>
      </w:rPr>
    </w:pPr>
    <w:r>
      <w:rPr>
        <w:color w:val="595959" w:themeColor="text1" w:themeTint="A6"/>
      </w:rPr>
      <w:t>312-883-2769</w:t>
    </w:r>
    <w:r w:rsidR="008D1631" w:rsidRPr="008C6946">
      <w:rPr>
        <w:color w:val="595959" w:themeColor="text1" w:themeTint="A6"/>
      </w:rPr>
      <w:tab/>
    </w:r>
    <w:r w:rsidR="008D1631" w:rsidRPr="008C6946">
      <w:rPr>
        <w:color w:val="595959" w:themeColor="text1" w:themeTint="A6"/>
      </w:rPr>
      <w:tab/>
    </w:r>
    <w:sdt>
      <w:sdtPr>
        <w:rPr>
          <w:color w:val="595959" w:themeColor="text1" w:themeTint="A6"/>
        </w:rPr>
        <w:id w:val="250395305"/>
        <w:docPartObj>
          <w:docPartGallery w:val="Page Numbers (Top of Page)"/>
          <w:docPartUnique/>
        </w:docPartObj>
      </w:sdtPr>
      <w:sdtContent>
        <w:r w:rsidR="008D1631" w:rsidRPr="008C6946">
          <w:rPr>
            <w:color w:val="595959" w:themeColor="text1" w:themeTint="A6"/>
          </w:rPr>
          <w:t xml:space="preserve">Page </w:t>
        </w:r>
        <w:r w:rsidR="00175DB6" w:rsidRPr="008C6946">
          <w:rPr>
            <w:color w:val="595959" w:themeColor="text1" w:themeTint="A6"/>
          </w:rPr>
          <w:fldChar w:fldCharType="begin"/>
        </w:r>
        <w:r w:rsidR="008D1631" w:rsidRPr="008C6946">
          <w:rPr>
            <w:color w:val="595959" w:themeColor="text1" w:themeTint="A6"/>
          </w:rPr>
          <w:instrText xml:space="preserve"> PAGE </w:instrText>
        </w:r>
        <w:r w:rsidR="00175DB6" w:rsidRPr="008C6946">
          <w:rPr>
            <w:color w:val="595959" w:themeColor="text1" w:themeTint="A6"/>
          </w:rPr>
          <w:fldChar w:fldCharType="separate"/>
        </w:r>
        <w:r w:rsidR="002D1332">
          <w:rPr>
            <w:noProof/>
            <w:color w:val="595959" w:themeColor="text1" w:themeTint="A6"/>
          </w:rPr>
          <w:t>1</w:t>
        </w:r>
        <w:r w:rsidR="00175DB6" w:rsidRPr="008C6946">
          <w:rPr>
            <w:color w:val="595959" w:themeColor="text1" w:themeTint="A6"/>
          </w:rPr>
          <w:fldChar w:fldCharType="end"/>
        </w:r>
        <w:r w:rsidR="008D1631" w:rsidRPr="008C6946">
          <w:rPr>
            <w:color w:val="595959" w:themeColor="text1" w:themeTint="A6"/>
          </w:rPr>
          <w:t xml:space="preserve"> of </w:t>
        </w:r>
        <w:r w:rsidR="00175DB6" w:rsidRPr="008C6946">
          <w:rPr>
            <w:color w:val="595959" w:themeColor="text1" w:themeTint="A6"/>
          </w:rPr>
          <w:fldChar w:fldCharType="begin"/>
        </w:r>
        <w:r w:rsidR="008D1631" w:rsidRPr="008C6946">
          <w:rPr>
            <w:color w:val="595959" w:themeColor="text1" w:themeTint="A6"/>
          </w:rPr>
          <w:instrText xml:space="preserve"> NUMPAGES  </w:instrText>
        </w:r>
        <w:r w:rsidR="00175DB6" w:rsidRPr="008C6946">
          <w:rPr>
            <w:color w:val="595959" w:themeColor="text1" w:themeTint="A6"/>
          </w:rPr>
          <w:fldChar w:fldCharType="separate"/>
        </w:r>
        <w:r w:rsidR="002D1332">
          <w:rPr>
            <w:noProof/>
            <w:color w:val="595959" w:themeColor="text1" w:themeTint="A6"/>
          </w:rPr>
          <w:t>1</w:t>
        </w:r>
        <w:r w:rsidR="00175DB6" w:rsidRPr="008C6946">
          <w:rPr>
            <w:color w:val="595959" w:themeColor="text1" w:themeTint="A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BE22D" w14:textId="77777777" w:rsidR="006C0B2E" w:rsidRDefault="006C0B2E" w:rsidP="00C33B01">
      <w:r>
        <w:separator/>
      </w:r>
    </w:p>
  </w:footnote>
  <w:footnote w:type="continuationSeparator" w:id="0">
    <w:p w14:paraId="6AAACE28" w14:textId="77777777" w:rsidR="006C0B2E" w:rsidRDefault="006C0B2E" w:rsidP="00C33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03E1E" w14:textId="19FFD971" w:rsidR="008D1631" w:rsidRPr="00653FFD" w:rsidRDefault="008D1631" w:rsidP="00685E89">
    <w:pPr>
      <w:pStyle w:val="Header"/>
      <w:spacing w:before="0"/>
      <w:rPr>
        <w:sz w:val="12"/>
      </w:rPr>
    </w:pPr>
    <w:r>
      <w:rPr>
        <w:noProof/>
        <w:lang w:val="en-US" w:eastAsia="en-US" w:bidi="ar-SA"/>
      </w:rPr>
      <w:drawing>
        <wp:inline distT="0" distB="0" distL="0" distR="0" wp14:anchorId="1D498D95" wp14:editId="3E03919E">
          <wp:extent cx="1242646" cy="414214"/>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60985" cy="420327"/>
                  </a:xfrm>
                  <a:prstGeom prst="rect">
                    <a:avLst/>
                  </a:prstGeom>
                  <a:noFill/>
                  <a:ln w="9525">
                    <a:noFill/>
                    <a:miter lim="800000"/>
                    <a:headEnd/>
                    <a:tailEnd/>
                  </a:ln>
                </pic:spPr>
              </pic:pic>
            </a:graphicData>
          </a:graphic>
        </wp:inline>
      </w:drawing>
    </w:r>
    <w:r w:rsidR="00165CE9">
      <w:rPr>
        <w:sz w:val="12"/>
      </w:rPr>
      <w:tab/>
    </w:r>
    <w:r w:rsidR="00165CE9">
      <w:rPr>
        <w:sz w:val="1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CC7EBB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19C5B29"/>
    <w:multiLevelType w:val="hybridMultilevel"/>
    <w:tmpl w:val="FEAC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427"/>
    <w:multiLevelType w:val="hybridMultilevel"/>
    <w:tmpl w:val="D584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F750E"/>
    <w:multiLevelType w:val="hybridMultilevel"/>
    <w:tmpl w:val="B0E61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941A7"/>
    <w:multiLevelType w:val="hybridMultilevel"/>
    <w:tmpl w:val="D650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0A76B5"/>
    <w:multiLevelType w:val="hybridMultilevel"/>
    <w:tmpl w:val="C144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8C0631"/>
    <w:multiLevelType w:val="hybridMultilevel"/>
    <w:tmpl w:val="7E307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B4A1C"/>
    <w:multiLevelType w:val="hybridMultilevel"/>
    <w:tmpl w:val="D6C6F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D6406"/>
    <w:multiLevelType w:val="hybridMultilevel"/>
    <w:tmpl w:val="0FDA8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4E490E"/>
    <w:multiLevelType w:val="hybridMultilevel"/>
    <w:tmpl w:val="AB5EA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647761"/>
    <w:multiLevelType w:val="hybridMultilevel"/>
    <w:tmpl w:val="0DFC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5636A9"/>
    <w:multiLevelType w:val="hybridMultilevel"/>
    <w:tmpl w:val="26305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39319F"/>
    <w:multiLevelType w:val="hybridMultilevel"/>
    <w:tmpl w:val="E0E0B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0241D"/>
    <w:multiLevelType w:val="hybridMultilevel"/>
    <w:tmpl w:val="53A8E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B02AD1"/>
    <w:multiLevelType w:val="multilevel"/>
    <w:tmpl w:val="C366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6242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517EF0"/>
    <w:multiLevelType w:val="hybridMultilevel"/>
    <w:tmpl w:val="445A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8F0909"/>
    <w:multiLevelType w:val="hybridMultilevel"/>
    <w:tmpl w:val="864A50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3A060A2"/>
    <w:multiLevelType w:val="hybridMultilevel"/>
    <w:tmpl w:val="6E90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B61B3"/>
    <w:multiLevelType w:val="hybridMultilevel"/>
    <w:tmpl w:val="DCD6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D22C5"/>
    <w:multiLevelType w:val="hybridMultilevel"/>
    <w:tmpl w:val="45EA8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DC5949"/>
    <w:multiLevelType w:val="hybridMultilevel"/>
    <w:tmpl w:val="0C2E9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F545DB"/>
    <w:multiLevelType w:val="hybridMultilevel"/>
    <w:tmpl w:val="5E541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7066A"/>
    <w:multiLevelType w:val="hybridMultilevel"/>
    <w:tmpl w:val="728E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28180185">
    <w:abstractNumId w:val="0"/>
  </w:num>
  <w:num w:numId="2" w16cid:durableId="1489009268">
    <w:abstractNumId w:val="1"/>
  </w:num>
  <w:num w:numId="3" w16cid:durableId="1643193737">
    <w:abstractNumId w:val="1"/>
  </w:num>
  <w:num w:numId="4" w16cid:durableId="1268927126">
    <w:abstractNumId w:val="1"/>
  </w:num>
  <w:num w:numId="5" w16cid:durableId="785537794">
    <w:abstractNumId w:val="13"/>
  </w:num>
  <w:num w:numId="6" w16cid:durableId="1985816614">
    <w:abstractNumId w:val="22"/>
  </w:num>
  <w:num w:numId="7" w16cid:durableId="1792552825">
    <w:abstractNumId w:val="23"/>
  </w:num>
  <w:num w:numId="8" w16cid:durableId="1542672448">
    <w:abstractNumId w:val="24"/>
  </w:num>
  <w:num w:numId="9" w16cid:durableId="1775980923">
    <w:abstractNumId w:val="11"/>
  </w:num>
  <w:num w:numId="10" w16cid:durableId="2043510161">
    <w:abstractNumId w:val="2"/>
  </w:num>
  <w:num w:numId="11" w16cid:durableId="616376042">
    <w:abstractNumId w:val="10"/>
  </w:num>
  <w:num w:numId="12" w16cid:durableId="203297845">
    <w:abstractNumId w:val="20"/>
  </w:num>
  <w:num w:numId="13" w16cid:durableId="648559835">
    <w:abstractNumId w:val="21"/>
  </w:num>
  <w:num w:numId="14" w16cid:durableId="1245919836">
    <w:abstractNumId w:val="4"/>
  </w:num>
  <w:num w:numId="15" w16cid:durableId="170679169">
    <w:abstractNumId w:val="7"/>
  </w:num>
  <w:num w:numId="16" w16cid:durableId="109935509">
    <w:abstractNumId w:val="19"/>
  </w:num>
  <w:num w:numId="17" w16cid:durableId="1006664262">
    <w:abstractNumId w:val="9"/>
  </w:num>
  <w:num w:numId="18" w16cid:durableId="826746346">
    <w:abstractNumId w:val="12"/>
  </w:num>
  <w:num w:numId="19" w16cid:durableId="231546895">
    <w:abstractNumId w:val="8"/>
  </w:num>
  <w:num w:numId="20" w16cid:durableId="1419328730">
    <w:abstractNumId w:val="14"/>
  </w:num>
  <w:num w:numId="21" w16cid:durableId="182674949">
    <w:abstractNumId w:val="6"/>
  </w:num>
  <w:num w:numId="22" w16cid:durableId="1990672702">
    <w:abstractNumId w:val="18"/>
  </w:num>
  <w:num w:numId="23" w16cid:durableId="541747075">
    <w:abstractNumId w:val="16"/>
  </w:num>
  <w:num w:numId="24" w16cid:durableId="344946080">
    <w:abstractNumId w:val="17"/>
  </w:num>
  <w:num w:numId="25" w16cid:durableId="1206872964">
    <w:abstractNumId w:val="15"/>
  </w:num>
  <w:num w:numId="26" w16cid:durableId="1125928691">
    <w:abstractNumId w:val="5"/>
  </w:num>
  <w:num w:numId="27" w16cid:durableId="138748730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lake Hempel">
    <w15:presenceInfo w15:providerId="Windows Live" w15:userId="b2b7425eaa9c8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oNotDisplayPageBoundaries/>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138"/>
  <w:defaultTableStyle w:val="Normal"/>
  <w:drawingGridHorizontalSpacing w:val="11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B3"/>
    <w:rsid w:val="00003B4B"/>
    <w:rsid w:val="000047EB"/>
    <w:rsid w:val="000134C2"/>
    <w:rsid w:val="000140ED"/>
    <w:rsid w:val="000201DD"/>
    <w:rsid w:val="00026B77"/>
    <w:rsid w:val="00026C84"/>
    <w:rsid w:val="000308F8"/>
    <w:rsid w:val="00030B8B"/>
    <w:rsid w:val="0003116E"/>
    <w:rsid w:val="000332E2"/>
    <w:rsid w:val="00041AD2"/>
    <w:rsid w:val="00043014"/>
    <w:rsid w:val="00054A33"/>
    <w:rsid w:val="000575CD"/>
    <w:rsid w:val="00057DFF"/>
    <w:rsid w:val="0006019F"/>
    <w:rsid w:val="000676F2"/>
    <w:rsid w:val="000678A2"/>
    <w:rsid w:val="00072449"/>
    <w:rsid w:val="00073F84"/>
    <w:rsid w:val="000825A9"/>
    <w:rsid w:val="0008712E"/>
    <w:rsid w:val="000901F1"/>
    <w:rsid w:val="0009052A"/>
    <w:rsid w:val="000A1410"/>
    <w:rsid w:val="000A20D2"/>
    <w:rsid w:val="000A552D"/>
    <w:rsid w:val="000B0589"/>
    <w:rsid w:val="000B1A6D"/>
    <w:rsid w:val="000B3640"/>
    <w:rsid w:val="000B64B3"/>
    <w:rsid w:val="000B6C67"/>
    <w:rsid w:val="000D3027"/>
    <w:rsid w:val="000D4A73"/>
    <w:rsid w:val="000D6F5E"/>
    <w:rsid w:val="000E2D53"/>
    <w:rsid w:val="000F4E82"/>
    <w:rsid w:val="000F6239"/>
    <w:rsid w:val="001022B7"/>
    <w:rsid w:val="00103A55"/>
    <w:rsid w:val="00110E43"/>
    <w:rsid w:val="00113525"/>
    <w:rsid w:val="00113EE8"/>
    <w:rsid w:val="00114069"/>
    <w:rsid w:val="00123028"/>
    <w:rsid w:val="00124DC3"/>
    <w:rsid w:val="00125B52"/>
    <w:rsid w:val="00127198"/>
    <w:rsid w:val="001343CA"/>
    <w:rsid w:val="001424A2"/>
    <w:rsid w:val="001429AC"/>
    <w:rsid w:val="00145772"/>
    <w:rsid w:val="0014577F"/>
    <w:rsid w:val="00146888"/>
    <w:rsid w:val="00146FA4"/>
    <w:rsid w:val="00152288"/>
    <w:rsid w:val="001549C5"/>
    <w:rsid w:val="00157961"/>
    <w:rsid w:val="00165CE9"/>
    <w:rsid w:val="00165EE9"/>
    <w:rsid w:val="00171860"/>
    <w:rsid w:val="00171CFA"/>
    <w:rsid w:val="00174DD6"/>
    <w:rsid w:val="00175DB6"/>
    <w:rsid w:val="0018470A"/>
    <w:rsid w:val="0018765C"/>
    <w:rsid w:val="001960BB"/>
    <w:rsid w:val="001B5B65"/>
    <w:rsid w:val="001C0B54"/>
    <w:rsid w:val="001C1942"/>
    <w:rsid w:val="001C1BD7"/>
    <w:rsid w:val="001C56C7"/>
    <w:rsid w:val="001C7575"/>
    <w:rsid w:val="001D144B"/>
    <w:rsid w:val="001D2AA9"/>
    <w:rsid w:val="001E0A95"/>
    <w:rsid w:val="001E3347"/>
    <w:rsid w:val="001E3830"/>
    <w:rsid w:val="001E5167"/>
    <w:rsid w:val="001E61EC"/>
    <w:rsid w:val="001E697A"/>
    <w:rsid w:val="001F2F3E"/>
    <w:rsid w:val="001F7C0D"/>
    <w:rsid w:val="00200EF1"/>
    <w:rsid w:val="00202410"/>
    <w:rsid w:val="00203034"/>
    <w:rsid w:val="002035B6"/>
    <w:rsid w:val="00203D44"/>
    <w:rsid w:val="00215DAA"/>
    <w:rsid w:val="00217245"/>
    <w:rsid w:val="00227E9F"/>
    <w:rsid w:val="00230273"/>
    <w:rsid w:val="00231C0F"/>
    <w:rsid w:val="0025459A"/>
    <w:rsid w:val="00255871"/>
    <w:rsid w:val="00260974"/>
    <w:rsid w:val="00262DD2"/>
    <w:rsid w:val="00264D9B"/>
    <w:rsid w:val="00265A95"/>
    <w:rsid w:val="0026719D"/>
    <w:rsid w:val="00272B9F"/>
    <w:rsid w:val="00283353"/>
    <w:rsid w:val="00284617"/>
    <w:rsid w:val="00284F5A"/>
    <w:rsid w:val="002872D6"/>
    <w:rsid w:val="002A0C9F"/>
    <w:rsid w:val="002A1076"/>
    <w:rsid w:val="002A1A80"/>
    <w:rsid w:val="002B0615"/>
    <w:rsid w:val="002B46EF"/>
    <w:rsid w:val="002B47BA"/>
    <w:rsid w:val="002B4907"/>
    <w:rsid w:val="002B4BA0"/>
    <w:rsid w:val="002B714F"/>
    <w:rsid w:val="002C215E"/>
    <w:rsid w:val="002C3B5D"/>
    <w:rsid w:val="002D1332"/>
    <w:rsid w:val="002D1475"/>
    <w:rsid w:val="002D2651"/>
    <w:rsid w:val="002D28B7"/>
    <w:rsid w:val="002D2DEC"/>
    <w:rsid w:val="002D4DC3"/>
    <w:rsid w:val="002E0F07"/>
    <w:rsid w:val="002E1C26"/>
    <w:rsid w:val="002E2BBD"/>
    <w:rsid w:val="002E4FAF"/>
    <w:rsid w:val="00300F05"/>
    <w:rsid w:val="00303758"/>
    <w:rsid w:val="00303A98"/>
    <w:rsid w:val="00304BF8"/>
    <w:rsid w:val="003066CF"/>
    <w:rsid w:val="00316BC1"/>
    <w:rsid w:val="0032238E"/>
    <w:rsid w:val="0032325D"/>
    <w:rsid w:val="00323E57"/>
    <w:rsid w:val="00325435"/>
    <w:rsid w:val="003261FF"/>
    <w:rsid w:val="003308F7"/>
    <w:rsid w:val="00335DC4"/>
    <w:rsid w:val="003428CB"/>
    <w:rsid w:val="00351BDD"/>
    <w:rsid w:val="003532C7"/>
    <w:rsid w:val="00356AE1"/>
    <w:rsid w:val="00361F22"/>
    <w:rsid w:val="003636DE"/>
    <w:rsid w:val="00365786"/>
    <w:rsid w:val="0036673D"/>
    <w:rsid w:val="00381B3E"/>
    <w:rsid w:val="003825B6"/>
    <w:rsid w:val="003864AD"/>
    <w:rsid w:val="00387055"/>
    <w:rsid w:val="003A21E8"/>
    <w:rsid w:val="003A4D0A"/>
    <w:rsid w:val="003A7966"/>
    <w:rsid w:val="003B0F69"/>
    <w:rsid w:val="003B1F06"/>
    <w:rsid w:val="003B4A6E"/>
    <w:rsid w:val="003C28C7"/>
    <w:rsid w:val="003D00AC"/>
    <w:rsid w:val="003D44FE"/>
    <w:rsid w:val="003E57BC"/>
    <w:rsid w:val="003E720D"/>
    <w:rsid w:val="003F3947"/>
    <w:rsid w:val="00400116"/>
    <w:rsid w:val="004027CE"/>
    <w:rsid w:val="00402AF0"/>
    <w:rsid w:val="00407AC6"/>
    <w:rsid w:val="00407B5A"/>
    <w:rsid w:val="00411CF7"/>
    <w:rsid w:val="004132E9"/>
    <w:rsid w:val="00414A99"/>
    <w:rsid w:val="00416470"/>
    <w:rsid w:val="00422CB3"/>
    <w:rsid w:val="0042487F"/>
    <w:rsid w:val="0042645D"/>
    <w:rsid w:val="004312B4"/>
    <w:rsid w:val="00436283"/>
    <w:rsid w:val="00445551"/>
    <w:rsid w:val="00452DD6"/>
    <w:rsid w:val="00455A81"/>
    <w:rsid w:val="00456373"/>
    <w:rsid w:val="004610F2"/>
    <w:rsid w:val="0046252F"/>
    <w:rsid w:val="00467D97"/>
    <w:rsid w:val="00472AE6"/>
    <w:rsid w:val="004740BA"/>
    <w:rsid w:val="0048259E"/>
    <w:rsid w:val="00482D7D"/>
    <w:rsid w:val="004833BC"/>
    <w:rsid w:val="0048488A"/>
    <w:rsid w:val="00492461"/>
    <w:rsid w:val="00492BFB"/>
    <w:rsid w:val="00495426"/>
    <w:rsid w:val="004A10F3"/>
    <w:rsid w:val="004A63FC"/>
    <w:rsid w:val="004B0393"/>
    <w:rsid w:val="004B063B"/>
    <w:rsid w:val="004B1217"/>
    <w:rsid w:val="004B1E7E"/>
    <w:rsid w:val="004B2A0A"/>
    <w:rsid w:val="004B51F5"/>
    <w:rsid w:val="004C03DE"/>
    <w:rsid w:val="004C0B3A"/>
    <w:rsid w:val="004C11AA"/>
    <w:rsid w:val="004C3A79"/>
    <w:rsid w:val="004C7223"/>
    <w:rsid w:val="004D3597"/>
    <w:rsid w:val="004F514F"/>
    <w:rsid w:val="00500C78"/>
    <w:rsid w:val="00504734"/>
    <w:rsid w:val="0050509F"/>
    <w:rsid w:val="00505332"/>
    <w:rsid w:val="00510559"/>
    <w:rsid w:val="005157FC"/>
    <w:rsid w:val="00515A4D"/>
    <w:rsid w:val="00523179"/>
    <w:rsid w:val="005232DA"/>
    <w:rsid w:val="00525291"/>
    <w:rsid w:val="00526F0B"/>
    <w:rsid w:val="005274C6"/>
    <w:rsid w:val="00531351"/>
    <w:rsid w:val="005321B0"/>
    <w:rsid w:val="00535AAE"/>
    <w:rsid w:val="005373E5"/>
    <w:rsid w:val="005401CF"/>
    <w:rsid w:val="005428C4"/>
    <w:rsid w:val="00543702"/>
    <w:rsid w:val="0054412C"/>
    <w:rsid w:val="005534DA"/>
    <w:rsid w:val="00553A93"/>
    <w:rsid w:val="0055557E"/>
    <w:rsid w:val="0055737A"/>
    <w:rsid w:val="00557CA0"/>
    <w:rsid w:val="00567DBE"/>
    <w:rsid w:val="00567E1F"/>
    <w:rsid w:val="00571E53"/>
    <w:rsid w:val="00572307"/>
    <w:rsid w:val="00575FEF"/>
    <w:rsid w:val="00581458"/>
    <w:rsid w:val="00583C17"/>
    <w:rsid w:val="005849D2"/>
    <w:rsid w:val="00585FD6"/>
    <w:rsid w:val="005918B8"/>
    <w:rsid w:val="00592026"/>
    <w:rsid w:val="0059425A"/>
    <w:rsid w:val="005A065B"/>
    <w:rsid w:val="005A2AD1"/>
    <w:rsid w:val="005A2C85"/>
    <w:rsid w:val="005A4FB6"/>
    <w:rsid w:val="005C5273"/>
    <w:rsid w:val="005C7335"/>
    <w:rsid w:val="005D7516"/>
    <w:rsid w:val="005E05B7"/>
    <w:rsid w:val="005E7A31"/>
    <w:rsid w:val="005F1D58"/>
    <w:rsid w:val="005F2ECE"/>
    <w:rsid w:val="005F447F"/>
    <w:rsid w:val="005F58D8"/>
    <w:rsid w:val="006025AC"/>
    <w:rsid w:val="0062097C"/>
    <w:rsid w:val="00621C46"/>
    <w:rsid w:val="00630F64"/>
    <w:rsid w:val="006347EA"/>
    <w:rsid w:val="0065095F"/>
    <w:rsid w:val="00651D6D"/>
    <w:rsid w:val="0065259B"/>
    <w:rsid w:val="00653FFD"/>
    <w:rsid w:val="00662A7E"/>
    <w:rsid w:val="006760C4"/>
    <w:rsid w:val="0068238D"/>
    <w:rsid w:val="00685E89"/>
    <w:rsid w:val="00692346"/>
    <w:rsid w:val="00693106"/>
    <w:rsid w:val="00693399"/>
    <w:rsid w:val="00697010"/>
    <w:rsid w:val="00697C25"/>
    <w:rsid w:val="006A36F4"/>
    <w:rsid w:val="006A4C44"/>
    <w:rsid w:val="006A75FA"/>
    <w:rsid w:val="006A798C"/>
    <w:rsid w:val="006B2366"/>
    <w:rsid w:val="006B2404"/>
    <w:rsid w:val="006B488D"/>
    <w:rsid w:val="006B64A1"/>
    <w:rsid w:val="006B772E"/>
    <w:rsid w:val="006C0095"/>
    <w:rsid w:val="006C0B2E"/>
    <w:rsid w:val="006C1522"/>
    <w:rsid w:val="006C698A"/>
    <w:rsid w:val="006D6CA0"/>
    <w:rsid w:val="006D6D8A"/>
    <w:rsid w:val="006D76A0"/>
    <w:rsid w:val="006E1E5C"/>
    <w:rsid w:val="006E4157"/>
    <w:rsid w:val="006E78B9"/>
    <w:rsid w:val="006E7EFF"/>
    <w:rsid w:val="006F3E2C"/>
    <w:rsid w:val="006F4BB5"/>
    <w:rsid w:val="00700E2A"/>
    <w:rsid w:val="00701C2C"/>
    <w:rsid w:val="00702A24"/>
    <w:rsid w:val="00705119"/>
    <w:rsid w:val="00707084"/>
    <w:rsid w:val="00707DA6"/>
    <w:rsid w:val="00714769"/>
    <w:rsid w:val="00714EF3"/>
    <w:rsid w:val="0071570F"/>
    <w:rsid w:val="00730DFD"/>
    <w:rsid w:val="007408A3"/>
    <w:rsid w:val="00751ACC"/>
    <w:rsid w:val="00754699"/>
    <w:rsid w:val="007661F8"/>
    <w:rsid w:val="00766A56"/>
    <w:rsid w:val="00777E6F"/>
    <w:rsid w:val="007824F0"/>
    <w:rsid w:val="00785318"/>
    <w:rsid w:val="0079408B"/>
    <w:rsid w:val="0079449E"/>
    <w:rsid w:val="00796080"/>
    <w:rsid w:val="00796125"/>
    <w:rsid w:val="007A2446"/>
    <w:rsid w:val="007A3621"/>
    <w:rsid w:val="007A4F8B"/>
    <w:rsid w:val="007B0427"/>
    <w:rsid w:val="007B341B"/>
    <w:rsid w:val="007B53B0"/>
    <w:rsid w:val="007C3F42"/>
    <w:rsid w:val="007C63F3"/>
    <w:rsid w:val="007D4613"/>
    <w:rsid w:val="007D5546"/>
    <w:rsid w:val="007E4C76"/>
    <w:rsid w:val="007E7ACD"/>
    <w:rsid w:val="007F2E58"/>
    <w:rsid w:val="007F3FA5"/>
    <w:rsid w:val="00800021"/>
    <w:rsid w:val="00805581"/>
    <w:rsid w:val="00816C86"/>
    <w:rsid w:val="008205A4"/>
    <w:rsid w:val="00825D75"/>
    <w:rsid w:val="00832495"/>
    <w:rsid w:val="00833E0D"/>
    <w:rsid w:val="00833E8B"/>
    <w:rsid w:val="0083476B"/>
    <w:rsid w:val="00835931"/>
    <w:rsid w:val="008415AE"/>
    <w:rsid w:val="00841F30"/>
    <w:rsid w:val="00843135"/>
    <w:rsid w:val="00845915"/>
    <w:rsid w:val="0085065B"/>
    <w:rsid w:val="008653CD"/>
    <w:rsid w:val="008667FE"/>
    <w:rsid w:val="00873A9B"/>
    <w:rsid w:val="0087505C"/>
    <w:rsid w:val="00884820"/>
    <w:rsid w:val="0088563B"/>
    <w:rsid w:val="008873CD"/>
    <w:rsid w:val="00893687"/>
    <w:rsid w:val="008940DB"/>
    <w:rsid w:val="00895231"/>
    <w:rsid w:val="008967C2"/>
    <w:rsid w:val="008A7444"/>
    <w:rsid w:val="008B125D"/>
    <w:rsid w:val="008B2CC5"/>
    <w:rsid w:val="008B705B"/>
    <w:rsid w:val="008C6946"/>
    <w:rsid w:val="008C7144"/>
    <w:rsid w:val="008D1631"/>
    <w:rsid w:val="008D4166"/>
    <w:rsid w:val="008D458C"/>
    <w:rsid w:val="008D64E8"/>
    <w:rsid w:val="008D7A21"/>
    <w:rsid w:val="008D7A8D"/>
    <w:rsid w:val="008E373B"/>
    <w:rsid w:val="008E478C"/>
    <w:rsid w:val="008E7334"/>
    <w:rsid w:val="00902DD4"/>
    <w:rsid w:val="0090312A"/>
    <w:rsid w:val="009044B2"/>
    <w:rsid w:val="00905495"/>
    <w:rsid w:val="009135FB"/>
    <w:rsid w:val="00915E72"/>
    <w:rsid w:val="00917CDE"/>
    <w:rsid w:val="00920381"/>
    <w:rsid w:val="009235E1"/>
    <w:rsid w:val="009272CE"/>
    <w:rsid w:val="00927541"/>
    <w:rsid w:val="009373AE"/>
    <w:rsid w:val="00940092"/>
    <w:rsid w:val="00940130"/>
    <w:rsid w:val="00941A8F"/>
    <w:rsid w:val="00943074"/>
    <w:rsid w:val="0094341D"/>
    <w:rsid w:val="00952251"/>
    <w:rsid w:val="00954AB1"/>
    <w:rsid w:val="009572C6"/>
    <w:rsid w:val="0096704B"/>
    <w:rsid w:val="00984A0C"/>
    <w:rsid w:val="00992D57"/>
    <w:rsid w:val="00996607"/>
    <w:rsid w:val="00996F09"/>
    <w:rsid w:val="009A0E6D"/>
    <w:rsid w:val="009A43D5"/>
    <w:rsid w:val="009A5D89"/>
    <w:rsid w:val="009B0BE8"/>
    <w:rsid w:val="009B6F13"/>
    <w:rsid w:val="009C45B0"/>
    <w:rsid w:val="009C5FE7"/>
    <w:rsid w:val="009C609C"/>
    <w:rsid w:val="009D30BA"/>
    <w:rsid w:val="009D7B8F"/>
    <w:rsid w:val="009E22F0"/>
    <w:rsid w:val="009F12EF"/>
    <w:rsid w:val="009F3A57"/>
    <w:rsid w:val="009F4E1E"/>
    <w:rsid w:val="00A00EC1"/>
    <w:rsid w:val="00A0623C"/>
    <w:rsid w:val="00A07784"/>
    <w:rsid w:val="00A1125F"/>
    <w:rsid w:val="00A14091"/>
    <w:rsid w:val="00A2050A"/>
    <w:rsid w:val="00A229C5"/>
    <w:rsid w:val="00A3223B"/>
    <w:rsid w:val="00A33628"/>
    <w:rsid w:val="00A33655"/>
    <w:rsid w:val="00A35A7C"/>
    <w:rsid w:val="00A35E83"/>
    <w:rsid w:val="00A42DB6"/>
    <w:rsid w:val="00A458CB"/>
    <w:rsid w:val="00A472FF"/>
    <w:rsid w:val="00A579C1"/>
    <w:rsid w:val="00A61D18"/>
    <w:rsid w:val="00A63097"/>
    <w:rsid w:val="00A63F48"/>
    <w:rsid w:val="00A65F1F"/>
    <w:rsid w:val="00A71183"/>
    <w:rsid w:val="00A80C45"/>
    <w:rsid w:val="00A80C9A"/>
    <w:rsid w:val="00A81B29"/>
    <w:rsid w:val="00A82288"/>
    <w:rsid w:val="00A961AE"/>
    <w:rsid w:val="00A979CA"/>
    <w:rsid w:val="00AA1336"/>
    <w:rsid w:val="00AA157C"/>
    <w:rsid w:val="00AA1DEA"/>
    <w:rsid w:val="00AA1E18"/>
    <w:rsid w:val="00AA2BEE"/>
    <w:rsid w:val="00AA3BC7"/>
    <w:rsid w:val="00AA5322"/>
    <w:rsid w:val="00AB0DC1"/>
    <w:rsid w:val="00AD6453"/>
    <w:rsid w:val="00AE2DAE"/>
    <w:rsid w:val="00AE54C8"/>
    <w:rsid w:val="00AE550C"/>
    <w:rsid w:val="00AF2EEC"/>
    <w:rsid w:val="00B060F0"/>
    <w:rsid w:val="00B06168"/>
    <w:rsid w:val="00B07848"/>
    <w:rsid w:val="00B12378"/>
    <w:rsid w:val="00B210DF"/>
    <w:rsid w:val="00B219DD"/>
    <w:rsid w:val="00B21D3E"/>
    <w:rsid w:val="00B241D1"/>
    <w:rsid w:val="00B24CF5"/>
    <w:rsid w:val="00B2710C"/>
    <w:rsid w:val="00B33A6E"/>
    <w:rsid w:val="00B344AE"/>
    <w:rsid w:val="00B44568"/>
    <w:rsid w:val="00B44E0D"/>
    <w:rsid w:val="00B528A5"/>
    <w:rsid w:val="00B53479"/>
    <w:rsid w:val="00B54AE8"/>
    <w:rsid w:val="00B57C11"/>
    <w:rsid w:val="00B65F17"/>
    <w:rsid w:val="00B712D7"/>
    <w:rsid w:val="00B77F31"/>
    <w:rsid w:val="00B806DB"/>
    <w:rsid w:val="00B84DFF"/>
    <w:rsid w:val="00B853CC"/>
    <w:rsid w:val="00B97D22"/>
    <w:rsid w:val="00B97EF8"/>
    <w:rsid w:val="00BA1D36"/>
    <w:rsid w:val="00BA2081"/>
    <w:rsid w:val="00BA5AA1"/>
    <w:rsid w:val="00BB03A1"/>
    <w:rsid w:val="00BB1F97"/>
    <w:rsid w:val="00BB4525"/>
    <w:rsid w:val="00BC027F"/>
    <w:rsid w:val="00BC05A6"/>
    <w:rsid w:val="00BC177D"/>
    <w:rsid w:val="00BC4B34"/>
    <w:rsid w:val="00BC52F2"/>
    <w:rsid w:val="00BD2CE8"/>
    <w:rsid w:val="00BD3A20"/>
    <w:rsid w:val="00BD6547"/>
    <w:rsid w:val="00BE4EE6"/>
    <w:rsid w:val="00BF011B"/>
    <w:rsid w:val="00C113C0"/>
    <w:rsid w:val="00C14BF9"/>
    <w:rsid w:val="00C159D7"/>
    <w:rsid w:val="00C1658B"/>
    <w:rsid w:val="00C23DA4"/>
    <w:rsid w:val="00C242F6"/>
    <w:rsid w:val="00C2522C"/>
    <w:rsid w:val="00C33B01"/>
    <w:rsid w:val="00C4174C"/>
    <w:rsid w:val="00C42D93"/>
    <w:rsid w:val="00C42E16"/>
    <w:rsid w:val="00C62114"/>
    <w:rsid w:val="00C62915"/>
    <w:rsid w:val="00C64A17"/>
    <w:rsid w:val="00C65AA8"/>
    <w:rsid w:val="00C65D11"/>
    <w:rsid w:val="00C6715D"/>
    <w:rsid w:val="00C72A03"/>
    <w:rsid w:val="00C754A8"/>
    <w:rsid w:val="00C7724D"/>
    <w:rsid w:val="00C805B8"/>
    <w:rsid w:val="00C8200A"/>
    <w:rsid w:val="00C838E1"/>
    <w:rsid w:val="00C90DA6"/>
    <w:rsid w:val="00C91AA2"/>
    <w:rsid w:val="00C93519"/>
    <w:rsid w:val="00CA4937"/>
    <w:rsid w:val="00CA77B7"/>
    <w:rsid w:val="00CB04A0"/>
    <w:rsid w:val="00CB3330"/>
    <w:rsid w:val="00CB3627"/>
    <w:rsid w:val="00CB5B2D"/>
    <w:rsid w:val="00CC1DA3"/>
    <w:rsid w:val="00CC3D62"/>
    <w:rsid w:val="00CC699B"/>
    <w:rsid w:val="00CD1897"/>
    <w:rsid w:val="00CE17E2"/>
    <w:rsid w:val="00CE29AB"/>
    <w:rsid w:val="00CE7EAD"/>
    <w:rsid w:val="00D00231"/>
    <w:rsid w:val="00D0051D"/>
    <w:rsid w:val="00D06634"/>
    <w:rsid w:val="00D07E5D"/>
    <w:rsid w:val="00D13A0A"/>
    <w:rsid w:val="00D15DAE"/>
    <w:rsid w:val="00D20B28"/>
    <w:rsid w:val="00D26822"/>
    <w:rsid w:val="00D2797C"/>
    <w:rsid w:val="00D30416"/>
    <w:rsid w:val="00D3223C"/>
    <w:rsid w:val="00D33A3A"/>
    <w:rsid w:val="00D34576"/>
    <w:rsid w:val="00D443E8"/>
    <w:rsid w:val="00D47FB3"/>
    <w:rsid w:val="00D51186"/>
    <w:rsid w:val="00D53975"/>
    <w:rsid w:val="00D5528C"/>
    <w:rsid w:val="00D97D2E"/>
    <w:rsid w:val="00DA6547"/>
    <w:rsid w:val="00DB3DCC"/>
    <w:rsid w:val="00DB79B2"/>
    <w:rsid w:val="00DC7EB1"/>
    <w:rsid w:val="00DC7F24"/>
    <w:rsid w:val="00DD2510"/>
    <w:rsid w:val="00DD69B0"/>
    <w:rsid w:val="00DE230D"/>
    <w:rsid w:val="00DE5E02"/>
    <w:rsid w:val="00DF6EAD"/>
    <w:rsid w:val="00DF7C28"/>
    <w:rsid w:val="00E0116B"/>
    <w:rsid w:val="00E019B9"/>
    <w:rsid w:val="00E07B3E"/>
    <w:rsid w:val="00E125FC"/>
    <w:rsid w:val="00E1343B"/>
    <w:rsid w:val="00E16E80"/>
    <w:rsid w:val="00E22153"/>
    <w:rsid w:val="00E22ADE"/>
    <w:rsid w:val="00E2441E"/>
    <w:rsid w:val="00E27EA6"/>
    <w:rsid w:val="00E370AF"/>
    <w:rsid w:val="00E43F46"/>
    <w:rsid w:val="00E463D2"/>
    <w:rsid w:val="00E554CE"/>
    <w:rsid w:val="00E56BA6"/>
    <w:rsid w:val="00E60B0B"/>
    <w:rsid w:val="00E639F6"/>
    <w:rsid w:val="00E6708F"/>
    <w:rsid w:val="00E670E7"/>
    <w:rsid w:val="00E731AB"/>
    <w:rsid w:val="00E935FC"/>
    <w:rsid w:val="00E95321"/>
    <w:rsid w:val="00EA0CED"/>
    <w:rsid w:val="00EA265F"/>
    <w:rsid w:val="00EA5695"/>
    <w:rsid w:val="00EB0EE0"/>
    <w:rsid w:val="00EB6188"/>
    <w:rsid w:val="00EC0132"/>
    <w:rsid w:val="00EC0DF6"/>
    <w:rsid w:val="00EC2935"/>
    <w:rsid w:val="00ED7DE5"/>
    <w:rsid w:val="00EE3AEA"/>
    <w:rsid w:val="00EF0D57"/>
    <w:rsid w:val="00EF2798"/>
    <w:rsid w:val="00EF4DE8"/>
    <w:rsid w:val="00F0227B"/>
    <w:rsid w:val="00F0489E"/>
    <w:rsid w:val="00F068A1"/>
    <w:rsid w:val="00F07DC3"/>
    <w:rsid w:val="00F123E5"/>
    <w:rsid w:val="00F173B2"/>
    <w:rsid w:val="00F31FE3"/>
    <w:rsid w:val="00F33FC0"/>
    <w:rsid w:val="00F41540"/>
    <w:rsid w:val="00F6147A"/>
    <w:rsid w:val="00F65FBB"/>
    <w:rsid w:val="00F67727"/>
    <w:rsid w:val="00F73F4D"/>
    <w:rsid w:val="00F82936"/>
    <w:rsid w:val="00F84B72"/>
    <w:rsid w:val="00F90528"/>
    <w:rsid w:val="00F95D6A"/>
    <w:rsid w:val="00F96395"/>
    <w:rsid w:val="00FA11C9"/>
    <w:rsid w:val="00FA60A8"/>
    <w:rsid w:val="00FA677A"/>
    <w:rsid w:val="00FB4828"/>
    <w:rsid w:val="00FB7414"/>
    <w:rsid w:val="00FC0127"/>
    <w:rsid w:val="00FC6202"/>
    <w:rsid w:val="00FD2361"/>
    <w:rsid w:val="00FD2929"/>
    <w:rsid w:val="00FD53AB"/>
    <w:rsid w:val="00FE0B88"/>
    <w:rsid w:val="00FE4D5C"/>
    <w:rsid w:val="00FE5083"/>
    <w:rsid w:val="00FF23D5"/>
    <w:rsid w:val="00FF2EB8"/>
    <w:rsid w:val="00FF375F"/>
    <w:rsid w:val="00FF4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257025B"/>
  <w15:docId w15:val="{519A8CE5-8879-4B67-9B5A-5E14C9277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C"/>
    <w:pPr>
      <w:widowControl w:val="0"/>
      <w:suppressAutoHyphens/>
      <w:spacing w:before="120"/>
    </w:pPr>
    <w:rPr>
      <w:rFonts w:ascii="Calibri" w:eastAsia="Arial" w:hAnsi="Calibri" w:cs="Calibri"/>
      <w:color w:val="000000"/>
      <w:sz w:val="22"/>
      <w:szCs w:val="22"/>
      <w:lang w:val="en-CA" w:eastAsia="zh-CN" w:bidi="hi-IN"/>
    </w:rPr>
  </w:style>
  <w:style w:type="paragraph" w:styleId="Heading1">
    <w:name w:val="heading 1"/>
    <w:basedOn w:val="BodyText"/>
    <w:next w:val="BodyText"/>
    <w:link w:val="Heading1Char"/>
    <w:qFormat/>
    <w:rsid w:val="00146888"/>
    <w:pPr>
      <w:keepNext/>
      <w:widowControl/>
      <w:spacing w:before="120"/>
      <w:outlineLvl w:val="0"/>
    </w:pPr>
    <w:rPr>
      <w:rFonts w:ascii="Cambria" w:hAnsi="Cambria"/>
      <w:b/>
      <w:color w:val="1F497D"/>
      <w:sz w:val="32"/>
    </w:rPr>
  </w:style>
  <w:style w:type="paragraph" w:styleId="Heading2">
    <w:name w:val="heading 2"/>
    <w:basedOn w:val="Heading3"/>
    <w:next w:val="BodyText"/>
    <w:link w:val="Heading2Char"/>
    <w:qFormat/>
    <w:rsid w:val="00215DAA"/>
    <w:pPr>
      <w:keepNext/>
      <w:widowControl/>
      <w:outlineLvl w:val="1"/>
    </w:pPr>
    <w:rPr>
      <w:b/>
      <w:u w:val="single"/>
    </w:rPr>
  </w:style>
  <w:style w:type="paragraph" w:styleId="Heading3">
    <w:name w:val="heading 3"/>
    <w:basedOn w:val="BodyText"/>
    <w:next w:val="BodyText"/>
    <w:link w:val="Heading3Char"/>
    <w:qFormat/>
    <w:rsid w:val="004312B4"/>
    <w:pPr>
      <w:spacing w:before="180"/>
      <w:outlineLvl w:val="2"/>
    </w:pPr>
    <w:rPr>
      <w:rFonts w:ascii="Cambria" w:hAnsi="Cambria"/>
      <w:color w:val="1F497D"/>
      <w:sz w:val="28"/>
    </w:rPr>
  </w:style>
  <w:style w:type="paragraph" w:styleId="Heading4">
    <w:name w:val="heading 4"/>
    <w:basedOn w:val="Heading"/>
    <w:next w:val="BodyText"/>
    <w:qFormat/>
    <w:rsid w:val="00E95321"/>
    <w:pPr>
      <w:numPr>
        <w:ilvl w:val="3"/>
        <w:numId w:val="2"/>
      </w:numPr>
      <w:spacing w:before="0" w:after="0"/>
      <w:outlineLvl w:val="3"/>
    </w:pPr>
    <w:rPr>
      <w:rFonts w:ascii="Liberation Serif" w:eastAsia="DejaVu Sans" w:hAnsi="Liberation Serif" w:cs="DejaVu Sans"/>
      <w:b/>
      <w:bCs/>
      <w:sz w:val="24"/>
      <w:szCs w:val="24"/>
    </w:rPr>
  </w:style>
  <w:style w:type="paragraph" w:styleId="Heading5">
    <w:name w:val="heading 5"/>
    <w:basedOn w:val="Heading"/>
    <w:next w:val="BodyText"/>
    <w:qFormat/>
    <w:rsid w:val="00E95321"/>
    <w:pPr>
      <w:numPr>
        <w:ilvl w:val="4"/>
        <w:numId w:val="2"/>
      </w:numPr>
      <w:spacing w:before="0" w:after="0"/>
      <w:outlineLvl w:val="4"/>
    </w:pPr>
    <w:rPr>
      <w:rFonts w:ascii="Liberation Serif" w:eastAsia="DejaVu Sans" w:hAnsi="Liberation Serif" w:cs="DejaVu Sans"/>
      <w:b/>
      <w:bCs/>
      <w:sz w:val="20"/>
      <w:szCs w:val="20"/>
    </w:rPr>
  </w:style>
  <w:style w:type="paragraph" w:styleId="Heading6">
    <w:name w:val="heading 6"/>
    <w:basedOn w:val="Heading"/>
    <w:next w:val="BodyText"/>
    <w:qFormat/>
    <w:rsid w:val="00E95321"/>
    <w:pPr>
      <w:numPr>
        <w:ilvl w:val="5"/>
        <w:numId w:val="2"/>
      </w:numPr>
      <w:spacing w:before="0" w:after="0"/>
      <w:outlineLvl w:val="5"/>
    </w:pPr>
    <w:rPr>
      <w:rFonts w:ascii="Liberation Serif" w:eastAsia="DejaVu Sans" w:hAnsi="Liberation Serif" w:cs="DejaVu Sans"/>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E95321"/>
  </w:style>
  <w:style w:type="character" w:customStyle="1" w:styleId="FootnoteCharacters">
    <w:name w:val="Footnote Characters"/>
    <w:rsid w:val="00E95321"/>
  </w:style>
  <w:style w:type="character" w:styleId="Hyperlink">
    <w:name w:val="Hyperlink"/>
    <w:rsid w:val="00E95321"/>
    <w:rPr>
      <w:color w:val="000080"/>
      <w:u w:val="single"/>
    </w:rPr>
  </w:style>
  <w:style w:type="character" w:styleId="Strong">
    <w:name w:val="Strong"/>
    <w:uiPriority w:val="22"/>
    <w:qFormat/>
    <w:rsid w:val="00E95321"/>
    <w:rPr>
      <w:b/>
      <w:bCs/>
    </w:rPr>
  </w:style>
  <w:style w:type="character" w:customStyle="1" w:styleId="Bullets">
    <w:name w:val="Bullets"/>
    <w:rsid w:val="00E95321"/>
    <w:rPr>
      <w:rFonts w:ascii="OpenSymbol" w:eastAsia="OpenSymbol" w:hAnsi="OpenSymbol" w:cs="OpenSymbol"/>
    </w:rPr>
  </w:style>
  <w:style w:type="paragraph" w:customStyle="1" w:styleId="HorizontalLine">
    <w:name w:val="Horizontal Line"/>
    <w:basedOn w:val="Normal"/>
    <w:next w:val="BodyText"/>
    <w:rsid w:val="00E95321"/>
    <w:pPr>
      <w:pBdr>
        <w:top w:val="none" w:sz="0" w:space="0" w:color="000000"/>
        <w:left w:val="none" w:sz="0" w:space="0" w:color="000000"/>
        <w:bottom w:val="double" w:sz="3" w:space="0" w:color="808080"/>
        <w:right w:val="none" w:sz="0" w:space="0" w:color="000000"/>
      </w:pBdr>
      <w:spacing w:before="0" w:after="283"/>
    </w:pPr>
    <w:rPr>
      <w:sz w:val="12"/>
    </w:rPr>
  </w:style>
  <w:style w:type="paragraph" w:styleId="EnvelopeReturn">
    <w:name w:val="envelope return"/>
    <w:basedOn w:val="Normal"/>
    <w:rsid w:val="00E95321"/>
    <w:rPr>
      <w:i/>
    </w:rPr>
  </w:style>
  <w:style w:type="paragraph" w:customStyle="1" w:styleId="TableContents">
    <w:name w:val="Table Contents"/>
    <w:basedOn w:val="BodyText"/>
    <w:rsid w:val="00E95321"/>
  </w:style>
  <w:style w:type="paragraph" w:styleId="Footer">
    <w:name w:val="footer"/>
    <w:basedOn w:val="Normal"/>
    <w:rsid w:val="00E95321"/>
    <w:pPr>
      <w:suppressLineNumbers/>
      <w:tabs>
        <w:tab w:val="center" w:pos="4818"/>
        <w:tab w:val="right" w:pos="9637"/>
      </w:tabs>
    </w:pPr>
  </w:style>
  <w:style w:type="paragraph" w:styleId="Header">
    <w:name w:val="header"/>
    <w:basedOn w:val="Normal"/>
    <w:rsid w:val="00E95321"/>
    <w:pPr>
      <w:suppressLineNumbers/>
      <w:tabs>
        <w:tab w:val="center" w:pos="4818"/>
        <w:tab w:val="right" w:pos="9637"/>
      </w:tabs>
    </w:pPr>
  </w:style>
  <w:style w:type="paragraph" w:customStyle="1" w:styleId="Index">
    <w:name w:val="Index"/>
    <w:basedOn w:val="Normal"/>
    <w:rsid w:val="00E95321"/>
    <w:pPr>
      <w:suppressLineNumbers/>
    </w:pPr>
  </w:style>
  <w:style w:type="paragraph" w:styleId="Caption">
    <w:name w:val="caption"/>
    <w:basedOn w:val="Normal"/>
    <w:qFormat/>
    <w:rsid w:val="00E95321"/>
    <w:pPr>
      <w:suppressLineNumbers/>
      <w:spacing w:after="120"/>
    </w:pPr>
    <w:rPr>
      <w:i/>
      <w:iCs/>
      <w:sz w:val="24"/>
      <w:szCs w:val="24"/>
    </w:rPr>
  </w:style>
  <w:style w:type="paragraph" w:styleId="List">
    <w:name w:val="List"/>
    <w:basedOn w:val="BodyText"/>
    <w:rsid w:val="00E95321"/>
  </w:style>
  <w:style w:type="paragraph" w:styleId="BodyText">
    <w:name w:val="Body Text"/>
    <w:basedOn w:val="Normal"/>
    <w:link w:val="BodyTextChar"/>
    <w:rsid w:val="00E95321"/>
    <w:pPr>
      <w:spacing w:before="0"/>
    </w:pPr>
  </w:style>
  <w:style w:type="paragraph" w:customStyle="1" w:styleId="Heading">
    <w:name w:val="Heading"/>
    <w:basedOn w:val="Normal"/>
    <w:next w:val="BodyText"/>
    <w:rsid w:val="00E95321"/>
    <w:pPr>
      <w:keepNext/>
      <w:spacing w:before="240" w:after="283"/>
    </w:pPr>
    <w:rPr>
      <w:rFonts w:ascii="Albany" w:hAnsi="Albany"/>
      <w:sz w:val="28"/>
      <w:szCs w:val="28"/>
    </w:rPr>
  </w:style>
  <w:style w:type="paragraph" w:styleId="BalloonText">
    <w:name w:val="Balloon Text"/>
    <w:basedOn w:val="Normal"/>
    <w:link w:val="BalloonTextChar"/>
    <w:uiPriority w:val="99"/>
    <w:semiHidden/>
    <w:unhideWhenUsed/>
    <w:rsid w:val="00A81B29"/>
    <w:rPr>
      <w:rFonts w:ascii="Tahoma" w:hAnsi="Tahoma" w:cs="Mangal"/>
      <w:sz w:val="16"/>
      <w:szCs w:val="14"/>
    </w:rPr>
  </w:style>
  <w:style w:type="character" w:customStyle="1" w:styleId="BalloonTextChar">
    <w:name w:val="Balloon Text Char"/>
    <w:basedOn w:val="DefaultParagraphFont"/>
    <w:link w:val="BalloonText"/>
    <w:uiPriority w:val="99"/>
    <w:semiHidden/>
    <w:rsid w:val="00A81B29"/>
    <w:rPr>
      <w:rFonts w:ascii="Tahoma" w:eastAsia="Arial" w:hAnsi="Tahoma" w:cs="Mangal"/>
      <w:color w:val="000000"/>
      <w:sz w:val="16"/>
      <w:szCs w:val="14"/>
      <w:lang w:val="en-CA" w:eastAsia="zh-CN" w:bidi="hi-IN"/>
    </w:rPr>
  </w:style>
  <w:style w:type="paragraph" w:styleId="ListParagraph">
    <w:name w:val="List Paragraph"/>
    <w:basedOn w:val="Normal"/>
    <w:uiPriority w:val="34"/>
    <w:qFormat/>
    <w:rsid w:val="006E78B9"/>
    <w:pPr>
      <w:widowControl/>
      <w:suppressAutoHyphens w:val="0"/>
      <w:spacing w:before="0"/>
      <w:ind w:left="720"/>
      <w:contextualSpacing/>
    </w:pPr>
    <w:rPr>
      <w:rFonts w:asciiTheme="minorHAnsi" w:eastAsiaTheme="minorHAnsi" w:hAnsiTheme="minorHAnsi" w:cstheme="minorBidi"/>
      <w:color w:val="auto"/>
      <w:lang w:val="en-US" w:eastAsia="en-US" w:bidi="ar-SA"/>
    </w:rPr>
  </w:style>
  <w:style w:type="paragraph" w:styleId="NormalWeb">
    <w:name w:val="Normal (Web)"/>
    <w:basedOn w:val="Normal"/>
    <w:uiPriority w:val="99"/>
    <w:unhideWhenUsed/>
    <w:rsid w:val="00DF7C28"/>
    <w:pPr>
      <w:widowControl/>
      <w:suppressAutoHyphens w:val="0"/>
      <w:spacing w:before="100" w:beforeAutospacing="1" w:after="100" w:afterAutospacing="1"/>
    </w:pPr>
    <w:rPr>
      <w:rFonts w:ascii="Times New Roman" w:eastAsia="Times New Roman" w:hAnsi="Times New Roman" w:cs="Times New Roman"/>
      <w:color w:val="auto"/>
      <w:sz w:val="24"/>
      <w:szCs w:val="24"/>
      <w:lang w:val="en-US" w:eastAsia="en-US" w:bidi="ar-SA"/>
    </w:rPr>
  </w:style>
  <w:style w:type="character" w:customStyle="1" w:styleId="hidden-print">
    <w:name w:val="hidden-print"/>
    <w:basedOn w:val="DefaultParagraphFont"/>
    <w:rsid w:val="00054A33"/>
  </w:style>
  <w:style w:type="character" w:customStyle="1" w:styleId="Heading2Char">
    <w:name w:val="Heading 2 Char"/>
    <w:basedOn w:val="DefaultParagraphFont"/>
    <w:link w:val="Heading2"/>
    <w:rsid w:val="00215DAA"/>
    <w:rPr>
      <w:rFonts w:ascii="Cambria" w:eastAsia="Arial" w:hAnsi="Cambria" w:cs="Calibri"/>
      <w:b/>
      <w:color w:val="1F497D"/>
      <w:sz w:val="28"/>
      <w:szCs w:val="22"/>
      <w:u w:val="single"/>
      <w:lang w:val="en-CA" w:eastAsia="zh-CN" w:bidi="hi-IN"/>
    </w:rPr>
  </w:style>
  <w:style w:type="paragraph" w:styleId="Quote">
    <w:name w:val="Quote"/>
    <w:basedOn w:val="Normal"/>
    <w:next w:val="Normal"/>
    <w:link w:val="QuoteChar"/>
    <w:uiPriority w:val="29"/>
    <w:qFormat/>
    <w:rsid w:val="00CB3330"/>
    <w:pPr>
      <w:spacing w:before="200" w:after="160"/>
      <w:ind w:left="864" w:right="864"/>
      <w:jc w:val="center"/>
    </w:pPr>
    <w:rPr>
      <w:rFonts w:cs="Mangal"/>
      <w:i/>
      <w:iCs/>
      <w:color w:val="404040" w:themeColor="text1" w:themeTint="BF"/>
      <w:szCs w:val="20"/>
    </w:rPr>
  </w:style>
  <w:style w:type="character" w:customStyle="1" w:styleId="QuoteChar">
    <w:name w:val="Quote Char"/>
    <w:basedOn w:val="DefaultParagraphFont"/>
    <w:link w:val="Quote"/>
    <w:uiPriority w:val="29"/>
    <w:rsid w:val="00CB3330"/>
    <w:rPr>
      <w:rFonts w:ascii="Calibri" w:eastAsia="Arial" w:hAnsi="Calibri" w:cs="Mangal"/>
      <w:i/>
      <w:iCs/>
      <w:color w:val="404040" w:themeColor="text1" w:themeTint="BF"/>
      <w:sz w:val="22"/>
      <w:lang w:val="en-CA" w:eastAsia="zh-CN" w:bidi="hi-IN"/>
    </w:rPr>
  </w:style>
  <w:style w:type="character" w:styleId="Emphasis">
    <w:name w:val="Emphasis"/>
    <w:basedOn w:val="DefaultParagraphFont"/>
    <w:uiPriority w:val="20"/>
    <w:qFormat/>
    <w:rsid w:val="00113EE8"/>
    <w:rPr>
      <w:i/>
      <w:iCs/>
    </w:rPr>
  </w:style>
  <w:style w:type="character" w:customStyle="1" w:styleId="Heading3Char">
    <w:name w:val="Heading 3 Char"/>
    <w:basedOn w:val="DefaultParagraphFont"/>
    <w:link w:val="Heading3"/>
    <w:rsid w:val="00893687"/>
    <w:rPr>
      <w:rFonts w:ascii="Cambria" w:eastAsia="Arial" w:hAnsi="Cambria" w:cs="Calibri"/>
      <w:color w:val="1F497D"/>
      <w:sz w:val="28"/>
      <w:szCs w:val="22"/>
      <w:lang w:val="en-CA" w:eastAsia="zh-CN" w:bidi="hi-IN"/>
    </w:rPr>
  </w:style>
  <w:style w:type="character" w:styleId="CommentReference">
    <w:name w:val="annotation reference"/>
    <w:basedOn w:val="DefaultParagraphFont"/>
    <w:uiPriority w:val="99"/>
    <w:semiHidden/>
    <w:unhideWhenUsed/>
    <w:rsid w:val="003261FF"/>
    <w:rPr>
      <w:sz w:val="16"/>
      <w:szCs w:val="16"/>
    </w:rPr>
  </w:style>
  <w:style w:type="paragraph" w:styleId="CommentText">
    <w:name w:val="annotation text"/>
    <w:basedOn w:val="Normal"/>
    <w:link w:val="CommentTextChar"/>
    <w:uiPriority w:val="99"/>
    <w:unhideWhenUsed/>
    <w:rsid w:val="003261FF"/>
    <w:rPr>
      <w:rFonts w:cs="Mangal"/>
      <w:sz w:val="20"/>
      <w:szCs w:val="18"/>
    </w:rPr>
  </w:style>
  <w:style w:type="character" w:customStyle="1" w:styleId="CommentTextChar">
    <w:name w:val="Comment Text Char"/>
    <w:basedOn w:val="DefaultParagraphFont"/>
    <w:link w:val="CommentText"/>
    <w:uiPriority w:val="99"/>
    <w:rsid w:val="003261FF"/>
    <w:rPr>
      <w:rFonts w:ascii="Calibri" w:eastAsia="Arial" w:hAnsi="Calibri" w:cs="Mangal"/>
      <w:color w:val="000000"/>
      <w:szCs w:val="18"/>
      <w:lang w:val="en-CA" w:eastAsia="zh-CN" w:bidi="hi-IN"/>
    </w:rPr>
  </w:style>
  <w:style w:type="paragraph" w:styleId="CommentSubject">
    <w:name w:val="annotation subject"/>
    <w:basedOn w:val="CommentText"/>
    <w:next w:val="CommentText"/>
    <w:link w:val="CommentSubjectChar"/>
    <w:uiPriority w:val="99"/>
    <w:semiHidden/>
    <w:unhideWhenUsed/>
    <w:rsid w:val="003261FF"/>
    <w:rPr>
      <w:b/>
      <w:bCs/>
    </w:rPr>
  </w:style>
  <w:style w:type="character" w:customStyle="1" w:styleId="CommentSubjectChar">
    <w:name w:val="Comment Subject Char"/>
    <w:basedOn w:val="CommentTextChar"/>
    <w:link w:val="CommentSubject"/>
    <w:uiPriority w:val="99"/>
    <w:semiHidden/>
    <w:rsid w:val="003261FF"/>
    <w:rPr>
      <w:rFonts w:ascii="Calibri" w:eastAsia="Arial" w:hAnsi="Calibri" w:cs="Mangal"/>
      <w:b/>
      <w:bCs/>
      <w:color w:val="000000"/>
      <w:szCs w:val="18"/>
      <w:lang w:val="en-CA" w:eastAsia="zh-CN" w:bidi="hi-IN"/>
    </w:rPr>
  </w:style>
  <w:style w:type="paragraph" w:styleId="NoSpacing">
    <w:name w:val="No Spacing"/>
    <w:uiPriority w:val="1"/>
    <w:qFormat/>
    <w:rsid w:val="00AA1DEA"/>
    <w:pPr>
      <w:widowControl w:val="0"/>
      <w:suppressAutoHyphens/>
    </w:pPr>
    <w:rPr>
      <w:rFonts w:ascii="Calibri" w:eastAsia="Arial" w:hAnsi="Calibri" w:cs="Mangal"/>
      <w:color w:val="000000"/>
      <w:sz w:val="22"/>
      <w:lang w:val="en-CA" w:eastAsia="zh-CN" w:bidi="hi-IN"/>
    </w:rPr>
  </w:style>
  <w:style w:type="character" w:styleId="IntenseEmphasis">
    <w:name w:val="Intense Emphasis"/>
    <w:basedOn w:val="DefaultParagraphFont"/>
    <w:uiPriority w:val="21"/>
    <w:qFormat/>
    <w:rsid w:val="008D7A21"/>
    <w:rPr>
      <w:i/>
      <w:iCs/>
      <w:color w:val="4F81BD" w:themeColor="accent1"/>
    </w:rPr>
  </w:style>
  <w:style w:type="paragraph" w:styleId="IntenseQuote">
    <w:name w:val="Intense Quote"/>
    <w:basedOn w:val="Normal"/>
    <w:next w:val="Normal"/>
    <w:link w:val="IntenseQuoteChar"/>
    <w:uiPriority w:val="30"/>
    <w:qFormat/>
    <w:rsid w:val="008D7A21"/>
    <w:pPr>
      <w:pBdr>
        <w:top w:val="single" w:sz="4" w:space="10" w:color="4F81BD" w:themeColor="accent1"/>
        <w:bottom w:val="single" w:sz="4" w:space="10" w:color="4F81BD" w:themeColor="accent1"/>
      </w:pBdr>
      <w:spacing w:before="360" w:after="360"/>
      <w:ind w:left="864" w:right="864"/>
      <w:jc w:val="center"/>
    </w:pPr>
    <w:rPr>
      <w:rFonts w:cs="Mangal"/>
      <w:i/>
      <w:iCs/>
      <w:color w:val="4F81BD" w:themeColor="accent1"/>
      <w:szCs w:val="20"/>
    </w:rPr>
  </w:style>
  <w:style w:type="character" w:customStyle="1" w:styleId="IntenseQuoteChar">
    <w:name w:val="Intense Quote Char"/>
    <w:basedOn w:val="DefaultParagraphFont"/>
    <w:link w:val="IntenseQuote"/>
    <w:uiPriority w:val="30"/>
    <w:rsid w:val="008D7A21"/>
    <w:rPr>
      <w:rFonts w:ascii="Calibri" w:eastAsia="Arial" w:hAnsi="Calibri" w:cs="Mangal"/>
      <w:i/>
      <w:iCs/>
      <w:color w:val="4F81BD" w:themeColor="accent1"/>
      <w:sz w:val="22"/>
      <w:lang w:val="en-CA" w:eastAsia="zh-CN" w:bidi="hi-IN"/>
    </w:rPr>
  </w:style>
  <w:style w:type="character" w:customStyle="1" w:styleId="Heading1Char">
    <w:name w:val="Heading 1 Char"/>
    <w:basedOn w:val="DefaultParagraphFont"/>
    <w:link w:val="Heading1"/>
    <w:rsid w:val="00146888"/>
    <w:rPr>
      <w:rFonts w:ascii="Cambria" w:eastAsia="Arial" w:hAnsi="Cambria" w:cs="Calibri"/>
      <w:b/>
      <w:color w:val="1F497D"/>
      <w:sz w:val="32"/>
      <w:szCs w:val="22"/>
      <w:lang w:val="en-CA" w:eastAsia="zh-CN" w:bidi="hi-IN"/>
    </w:rPr>
  </w:style>
  <w:style w:type="character" w:styleId="UnresolvedMention">
    <w:name w:val="Unresolved Mention"/>
    <w:basedOn w:val="DefaultParagraphFont"/>
    <w:uiPriority w:val="99"/>
    <w:semiHidden/>
    <w:unhideWhenUsed/>
    <w:rsid w:val="008E373B"/>
    <w:rPr>
      <w:color w:val="605E5C"/>
      <w:shd w:val="clear" w:color="auto" w:fill="E1DFDD"/>
    </w:rPr>
  </w:style>
  <w:style w:type="character" w:customStyle="1" w:styleId="BodyTextChar">
    <w:name w:val="Body Text Char"/>
    <w:basedOn w:val="DefaultParagraphFont"/>
    <w:link w:val="BodyText"/>
    <w:rsid w:val="00B97D22"/>
    <w:rPr>
      <w:rFonts w:ascii="Calibri" w:eastAsia="Arial" w:hAnsi="Calibri" w:cs="Calibri"/>
      <w:color w:val="000000"/>
      <w:sz w:val="22"/>
      <w:szCs w:val="22"/>
      <w:lang w:val="en-CA" w:eastAsia="zh-CN" w:bidi="hi-IN"/>
    </w:rPr>
  </w:style>
  <w:style w:type="paragraph" w:styleId="Title">
    <w:name w:val="Title"/>
    <w:basedOn w:val="Normal"/>
    <w:next w:val="Normal"/>
    <w:link w:val="TitleChar"/>
    <w:uiPriority w:val="10"/>
    <w:qFormat/>
    <w:rsid w:val="00365786"/>
    <w:pPr>
      <w:spacing w:before="0"/>
      <w:contextualSpacing/>
    </w:pPr>
    <w:rPr>
      <w:rFonts w:asciiTheme="majorHAnsi" w:eastAsiaTheme="majorEastAsia" w:hAnsiTheme="majorHAnsi" w:cs="Mangal"/>
      <w:color w:val="auto"/>
      <w:spacing w:val="-10"/>
      <w:kern w:val="28"/>
      <w:sz w:val="56"/>
      <w:szCs w:val="50"/>
    </w:rPr>
  </w:style>
  <w:style w:type="character" w:customStyle="1" w:styleId="TitleChar">
    <w:name w:val="Title Char"/>
    <w:basedOn w:val="DefaultParagraphFont"/>
    <w:link w:val="Title"/>
    <w:uiPriority w:val="10"/>
    <w:rsid w:val="00365786"/>
    <w:rPr>
      <w:rFonts w:asciiTheme="majorHAnsi" w:eastAsiaTheme="majorEastAsia" w:hAnsiTheme="majorHAnsi" w:cs="Mangal"/>
      <w:spacing w:val="-10"/>
      <w:kern w:val="28"/>
      <w:sz w:val="56"/>
      <w:szCs w:val="50"/>
      <w:lang w:val="en-CA" w:eastAsia="zh-CN" w:bidi="hi-IN"/>
    </w:rPr>
  </w:style>
  <w:style w:type="character" w:customStyle="1" w:styleId="reference-author">
    <w:name w:val="reference-author"/>
    <w:basedOn w:val="DefaultParagraphFont"/>
    <w:rsid w:val="00D00231"/>
  </w:style>
  <w:style w:type="character" w:customStyle="1" w:styleId="reference-last">
    <w:name w:val="reference-last"/>
    <w:basedOn w:val="DefaultParagraphFont"/>
    <w:rsid w:val="00D00231"/>
  </w:style>
  <w:style w:type="character" w:customStyle="1" w:styleId="reference-first">
    <w:name w:val="reference-first"/>
    <w:basedOn w:val="DefaultParagraphFont"/>
    <w:rsid w:val="00D00231"/>
  </w:style>
  <w:style w:type="character" w:customStyle="1" w:styleId="reference-year">
    <w:name w:val="reference-year"/>
    <w:basedOn w:val="DefaultParagraphFont"/>
    <w:rsid w:val="00D00231"/>
  </w:style>
  <w:style w:type="character" w:customStyle="1" w:styleId="reference-title">
    <w:name w:val="reference-title"/>
    <w:basedOn w:val="DefaultParagraphFont"/>
    <w:rsid w:val="00D00231"/>
  </w:style>
  <w:style w:type="character" w:customStyle="1" w:styleId="reference-publication">
    <w:name w:val="reference-publication"/>
    <w:basedOn w:val="DefaultParagraphFont"/>
    <w:rsid w:val="00D00231"/>
  </w:style>
  <w:style w:type="character" w:customStyle="1" w:styleId="reference-volume">
    <w:name w:val="reference-volume"/>
    <w:basedOn w:val="DefaultParagraphFont"/>
    <w:rsid w:val="00D00231"/>
  </w:style>
  <w:style w:type="character" w:customStyle="1" w:styleId="reference-vol">
    <w:name w:val="reference-vol"/>
    <w:basedOn w:val="DefaultParagraphFont"/>
    <w:rsid w:val="00D00231"/>
  </w:style>
  <w:style w:type="character" w:customStyle="1" w:styleId="reference-no">
    <w:name w:val="reference-no"/>
    <w:basedOn w:val="DefaultParagraphFont"/>
    <w:rsid w:val="00D00231"/>
  </w:style>
  <w:style w:type="character" w:customStyle="1" w:styleId="reference-date">
    <w:name w:val="reference-date"/>
    <w:basedOn w:val="DefaultParagraphFont"/>
    <w:rsid w:val="00D00231"/>
  </w:style>
  <w:style w:type="character" w:customStyle="1" w:styleId="reference-month">
    <w:name w:val="reference-month"/>
    <w:basedOn w:val="DefaultParagraphFont"/>
    <w:rsid w:val="00D00231"/>
  </w:style>
  <w:style w:type="character" w:customStyle="1" w:styleId="reference-pages">
    <w:name w:val="reference-pages"/>
    <w:basedOn w:val="DefaultParagraphFont"/>
    <w:rsid w:val="00D00231"/>
  </w:style>
  <w:style w:type="table" w:styleId="TableGrid">
    <w:name w:val="Table Grid"/>
    <w:basedOn w:val="TableNormal"/>
    <w:uiPriority w:val="59"/>
    <w:rsid w:val="00751A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51AC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751AC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751AC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
    <w:name w:val="List Table 7 Colorful"/>
    <w:basedOn w:val="TableNormal"/>
    <w:uiPriority w:val="52"/>
    <w:rsid w:val="00751AC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react-xocs-alternative-link">
    <w:name w:val="react-xocs-alternative-link"/>
    <w:basedOn w:val="DefaultParagraphFont"/>
    <w:rsid w:val="00411CF7"/>
  </w:style>
  <w:style w:type="character" w:customStyle="1" w:styleId="given-name">
    <w:name w:val="given-name"/>
    <w:basedOn w:val="DefaultParagraphFont"/>
    <w:rsid w:val="00411CF7"/>
  </w:style>
  <w:style w:type="character" w:customStyle="1" w:styleId="text">
    <w:name w:val="text"/>
    <w:basedOn w:val="DefaultParagraphFont"/>
    <w:rsid w:val="00411CF7"/>
  </w:style>
  <w:style w:type="character" w:customStyle="1" w:styleId="author-ref">
    <w:name w:val="author-ref"/>
    <w:basedOn w:val="DefaultParagraphFont"/>
    <w:rsid w:val="00411CF7"/>
  </w:style>
  <w:style w:type="character" w:customStyle="1" w:styleId="anchor-text">
    <w:name w:val="anchor-text"/>
    <w:basedOn w:val="DefaultParagraphFont"/>
    <w:rsid w:val="001C56C7"/>
  </w:style>
  <w:style w:type="character" w:customStyle="1" w:styleId="title-text">
    <w:name w:val="title-text"/>
    <w:basedOn w:val="DefaultParagraphFont"/>
    <w:rsid w:val="00A35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2708">
      <w:bodyDiv w:val="1"/>
      <w:marLeft w:val="0"/>
      <w:marRight w:val="0"/>
      <w:marTop w:val="0"/>
      <w:marBottom w:val="0"/>
      <w:divBdr>
        <w:top w:val="none" w:sz="0" w:space="0" w:color="auto"/>
        <w:left w:val="none" w:sz="0" w:space="0" w:color="auto"/>
        <w:bottom w:val="none" w:sz="0" w:space="0" w:color="auto"/>
        <w:right w:val="none" w:sz="0" w:space="0" w:color="auto"/>
      </w:divBdr>
    </w:div>
    <w:div w:id="93862754">
      <w:bodyDiv w:val="1"/>
      <w:marLeft w:val="0"/>
      <w:marRight w:val="0"/>
      <w:marTop w:val="0"/>
      <w:marBottom w:val="0"/>
      <w:divBdr>
        <w:top w:val="none" w:sz="0" w:space="0" w:color="auto"/>
        <w:left w:val="none" w:sz="0" w:space="0" w:color="auto"/>
        <w:bottom w:val="none" w:sz="0" w:space="0" w:color="auto"/>
        <w:right w:val="none" w:sz="0" w:space="0" w:color="auto"/>
      </w:divBdr>
    </w:div>
    <w:div w:id="163398836">
      <w:bodyDiv w:val="1"/>
      <w:marLeft w:val="0"/>
      <w:marRight w:val="0"/>
      <w:marTop w:val="0"/>
      <w:marBottom w:val="0"/>
      <w:divBdr>
        <w:top w:val="none" w:sz="0" w:space="0" w:color="auto"/>
        <w:left w:val="none" w:sz="0" w:space="0" w:color="auto"/>
        <w:bottom w:val="none" w:sz="0" w:space="0" w:color="auto"/>
        <w:right w:val="none" w:sz="0" w:space="0" w:color="auto"/>
      </w:divBdr>
    </w:div>
    <w:div w:id="165560066">
      <w:bodyDiv w:val="1"/>
      <w:marLeft w:val="0"/>
      <w:marRight w:val="0"/>
      <w:marTop w:val="0"/>
      <w:marBottom w:val="0"/>
      <w:divBdr>
        <w:top w:val="none" w:sz="0" w:space="0" w:color="auto"/>
        <w:left w:val="none" w:sz="0" w:space="0" w:color="auto"/>
        <w:bottom w:val="none" w:sz="0" w:space="0" w:color="auto"/>
        <w:right w:val="none" w:sz="0" w:space="0" w:color="auto"/>
      </w:divBdr>
    </w:div>
    <w:div w:id="248778499">
      <w:bodyDiv w:val="1"/>
      <w:marLeft w:val="0"/>
      <w:marRight w:val="0"/>
      <w:marTop w:val="0"/>
      <w:marBottom w:val="0"/>
      <w:divBdr>
        <w:top w:val="none" w:sz="0" w:space="0" w:color="auto"/>
        <w:left w:val="none" w:sz="0" w:space="0" w:color="auto"/>
        <w:bottom w:val="none" w:sz="0" w:space="0" w:color="auto"/>
        <w:right w:val="none" w:sz="0" w:space="0" w:color="auto"/>
      </w:divBdr>
      <w:divsChild>
        <w:div w:id="1680279279">
          <w:marLeft w:val="0"/>
          <w:marRight w:val="0"/>
          <w:marTop w:val="0"/>
          <w:marBottom w:val="120"/>
          <w:divBdr>
            <w:top w:val="none" w:sz="0" w:space="0" w:color="auto"/>
            <w:left w:val="none" w:sz="0" w:space="0" w:color="auto"/>
            <w:bottom w:val="none" w:sz="0" w:space="0" w:color="auto"/>
            <w:right w:val="none" w:sz="0" w:space="0" w:color="auto"/>
          </w:divBdr>
        </w:div>
      </w:divsChild>
    </w:div>
    <w:div w:id="331681461">
      <w:bodyDiv w:val="1"/>
      <w:marLeft w:val="0"/>
      <w:marRight w:val="0"/>
      <w:marTop w:val="0"/>
      <w:marBottom w:val="0"/>
      <w:divBdr>
        <w:top w:val="none" w:sz="0" w:space="0" w:color="auto"/>
        <w:left w:val="none" w:sz="0" w:space="0" w:color="auto"/>
        <w:bottom w:val="none" w:sz="0" w:space="0" w:color="auto"/>
        <w:right w:val="none" w:sz="0" w:space="0" w:color="auto"/>
      </w:divBdr>
    </w:div>
    <w:div w:id="483472800">
      <w:bodyDiv w:val="1"/>
      <w:marLeft w:val="0"/>
      <w:marRight w:val="0"/>
      <w:marTop w:val="0"/>
      <w:marBottom w:val="0"/>
      <w:divBdr>
        <w:top w:val="none" w:sz="0" w:space="0" w:color="auto"/>
        <w:left w:val="none" w:sz="0" w:space="0" w:color="auto"/>
        <w:bottom w:val="none" w:sz="0" w:space="0" w:color="auto"/>
        <w:right w:val="none" w:sz="0" w:space="0" w:color="auto"/>
      </w:divBdr>
    </w:div>
    <w:div w:id="587688612">
      <w:bodyDiv w:val="1"/>
      <w:marLeft w:val="0"/>
      <w:marRight w:val="0"/>
      <w:marTop w:val="0"/>
      <w:marBottom w:val="0"/>
      <w:divBdr>
        <w:top w:val="none" w:sz="0" w:space="0" w:color="auto"/>
        <w:left w:val="none" w:sz="0" w:space="0" w:color="auto"/>
        <w:bottom w:val="none" w:sz="0" w:space="0" w:color="auto"/>
        <w:right w:val="none" w:sz="0" w:space="0" w:color="auto"/>
      </w:divBdr>
    </w:div>
    <w:div w:id="703021432">
      <w:bodyDiv w:val="1"/>
      <w:marLeft w:val="0"/>
      <w:marRight w:val="0"/>
      <w:marTop w:val="0"/>
      <w:marBottom w:val="0"/>
      <w:divBdr>
        <w:top w:val="none" w:sz="0" w:space="0" w:color="auto"/>
        <w:left w:val="none" w:sz="0" w:space="0" w:color="auto"/>
        <w:bottom w:val="none" w:sz="0" w:space="0" w:color="auto"/>
        <w:right w:val="none" w:sz="0" w:space="0" w:color="auto"/>
      </w:divBdr>
    </w:div>
    <w:div w:id="755326531">
      <w:bodyDiv w:val="1"/>
      <w:marLeft w:val="0"/>
      <w:marRight w:val="0"/>
      <w:marTop w:val="0"/>
      <w:marBottom w:val="0"/>
      <w:divBdr>
        <w:top w:val="none" w:sz="0" w:space="0" w:color="auto"/>
        <w:left w:val="none" w:sz="0" w:space="0" w:color="auto"/>
        <w:bottom w:val="none" w:sz="0" w:space="0" w:color="auto"/>
        <w:right w:val="none" w:sz="0" w:space="0" w:color="auto"/>
      </w:divBdr>
    </w:div>
    <w:div w:id="807825277">
      <w:bodyDiv w:val="1"/>
      <w:marLeft w:val="0"/>
      <w:marRight w:val="0"/>
      <w:marTop w:val="0"/>
      <w:marBottom w:val="0"/>
      <w:divBdr>
        <w:top w:val="none" w:sz="0" w:space="0" w:color="auto"/>
        <w:left w:val="none" w:sz="0" w:space="0" w:color="auto"/>
        <w:bottom w:val="none" w:sz="0" w:space="0" w:color="auto"/>
        <w:right w:val="none" w:sz="0" w:space="0" w:color="auto"/>
      </w:divBdr>
      <w:divsChild>
        <w:div w:id="2022471479">
          <w:marLeft w:val="0"/>
          <w:marRight w:val="0"/>
          <w:marTop w:val="0"/>
          <w:marBottom w:val="120"/>
          <w:divBdr>
            <w:top w:val="none" w:sz="0" w:space="0" w:color="auto"/>
            <w:left w:val="none" w:sz="0" w:space="0" w:color="auto"/>
            <w:bottom w:val="none" w:sz="0" w:space="0" w:color="auto"/>
            <w:right w:val="none" w:sz="0" w:space="0" w:color="auto"/>
          </w:divBdr>
        </w:div>
      </w:divsChild>
    </w:div>
    <w:div w:id="813176963">
      <w:bodyDiv w:val="1"/>
      <w:marLeft w:val="0"/>
      <w:marRight w:val="0"/>
      <w:marTop w:val="0"/>
      <w:marBottom w:val="0"/>
      <w:divBdr>
        <w:top w:val="none" w:sz="0" w:space="0" w:color="auto"/>
        <w:left w:val="none" w:sz="0" w:space="0" w:color="auto"/>
        <w:bottom w:val="none" w:sz="0" w:space="0" w:color="auto"/>
        <w:right w:val="none" w:sz="0" w:space="0" w:color="auto"/>
      </w:divBdr>
    </w:div>
    <w:div w:id="814681956">
      <w:bodyDiv w:val="1"/>
      <w:marLeft w:val="0"/>
      <w:marRight w:val="0"/>
      <w:marTop w:val="0"/>
      <w:marBottom w:val="0"/>
      <w:divBdr>
        <w:top w:val="none" w:sz="0" w:space="0" w:color="auto"/>
        <w:left w:val="none" w:sz="0" w:space="0" w:color="auto"/>
        <w:bottom w:val="none" w:sz="0" w:space="0" w:color="auto"/>
        <w:right w:val="none" w:sz="0" w:space="0" w:color="auto"/>
      </w:divBdr>
    </w:div>
    <w:div w:id="823353874">
      <w:bodyDiv w:val="1"/>
      <w:marLeft w:val="0"/>
      <w:marRight w:val="0"/>
      <w:marTop w:val="0"/>
      <w:marBottom w:val="0"/>
      <w:divBdr>
        <w:top w:val="none" w:sz="0" w:space="0" w:color="auto"/>
        <w:left w:val="none" w:sz="0" w:space="0" w:color="auto"/>
        <w:bottom w:val="none" w:sz="0" w:space="0" w:color="auto"/>
        <w:right w:val="none" w:sz="0" w:space="0" w:color="auto"/>
      </w:divBdr>
    </w:div>
    <w:div w:id="842168324">
      <w:bodyDiv w:val="1"/>
      <w:marLeft w:val="0"/>
      <w:marRight w:val="0"/>
      <w:marTop w:val="0"/>
      <w:marBottom w:val="0"/>
      <w:divBdr>
        <w:top w:val="none" w:sz="0" w:space="0" w:color="auto"/>
        <w:left w:val="none" w:sz="0" w:space="0" w:color="auto"/>
        <w:bottom w:val="none" w:sz="0" w:space="0" w:color="auto"/>
        <w:right w:val="none" w:sz="0" w:space="0" w:color="auto"/>
      </w:divBdr>
    </w:div>
    <w:div w:id="869227682">
      <w:bodyDiv w:val="1"/>
      <w:marLeft w:val="0"/>
      <w:marRight w:val="0"/>
      <w:marTop w:val="0"/>
      <w:marBottom w:val="0"/>
      <w:divBdr>
        <w:top w:val="none" w:sz="0" w:space="0" w:color="auto"/>
        <w:left w:val="none" w:sz="0" w:space="0" w:color="auto"/>
        <w:bottom w:val="none" w:sz="0" w:space="0" w:color="auto"/>
        <w:right w:val="none" w:sz="0" w:space="0" w:color="auto"/>
      </w:divBdr>
    </w:div>
    <w:div w:id="870604347">
      <w:bodyDiv w:val="1"/>
      <w:marLeft w:val="0"/>
      <w:marRight w:val="0"/>
      <w:marTop w:val="0"/>
      <w:marBottom w:val="0"/>
      <w:divBdr>
        <w:top w:val="none" w:sz="0" w:space="0" w:color="auto"/>
        <w:left w:val="none" w:sz="0" w:space="0" w:color="auto"/>
        <w:bottom w:val="none" w:sz="0" w:space="0" w:color="auto"/>
        <w:right w:val="none" w:sz="0" w:space="0" w:color="auto"/>
      </w:divBdr>
    </w:div>
    <w:div w:id="947204129">
      <w:bodyDiv w:val="1"/>
      <w:marLeft w:val="0"/>
      <w:marRight w:val="0"/>
      <w:marTop w:val="0"/>
      <w:marBottom w:val="0"/>
      <w:divBdr>
        <w:top w:val="none" w:sz="0" w:space="0" w:color="auto"/>
        <w:left w:val="none" w:sz="0" w:space="0" w:color="auto"/>
        <w:bottom w:val="none" w:sz="0" w:space="0" w:color="auto"/>
        <w:right w:val="none" w:sz="0" w:space="0" w:color="auto"/>
      </w:divBdr>
    </w:div>
    <w:div w:id="1186095744">
      <w:bodyDiv w:val="1"/>
      <w:marLeft w:val="0"/>
      <w:marRight w:val="0"/>
      <w:marTop w:val="0"/>
      <w:marBottom w:val="0"/>
      <w:divBdr>
        <w:top w:val="none" w:sz="0" w:space="0" w:color="auto"/>
        <w:left w:val="none" w:sz="0" w:space="0" w:color="auto"/>
        <w:bottom w:val="none" w:sz="0" w:space="0" w:color="auto"/>
        <w:right w:val="none" w:sz="0" w:space="0" w:color="auto"/>
      </w:divBdr>
      <w:divsChild>
        <w:div w:id="328824919">
          <w:marLeft w:val="0"/>
          <w:marRight w:val="0"/>
          <w:marTop w:val="120"/>
          <w:marBottom w:val="0"/>
          <w:divBdr>
            <w:top w:val="none" w:sz="0" w:space="0" w:color="auto"/>
            <w:left w:val="none" w:sz="0" w:space="0" w:color="auto"/>
            <w:bottom w:val="none" w:sz="0" w:space="0" w:color="auto"/>
            <w:right w:val="none" w:sz="0" w:space="0" w:color="auto"/>
          </w:divBdr>
        </w:div>
      </w:divsChild>
    </w:div>
    <w:div w:id="1277058799">
      <w:bodyDiv w:val="1"/>
      <w:marLeft w:val="0"/>
      <w:marRight w:val="0"/>
      <w:marTop w:val="0"/>
      <w:marBottom w:val="0"/>
      <w:divBdr>
        <w:top w:val="none" w:sz="0" w:space="0" w:color="auto"/>
        <w:left w:val="none" w:sz="0" w:space="0" w:color="auto"/>
        <w:bottom w:val="none" w:sz="0" w:space="0" w:color="auto"/>
        <w:right w:val="none" w:sz="0" w:space="0" w:color="auto"/>
      </w:divBdr>
    </w:div>
    <w:div w:id="1329746279">
      <w:bodyDiv w:val="1"/>
      <w:marLeft w:val="0"/>
      <w:marRight w:val="0"/>
      <w:marTop w:val="0"/>
      <w:marBottom w:val="0"/>
      <w:divBdr>
        <w:top w:val="none" w:sz="0" w:space="0" w:color="auto"/>
        <w:left w:val="none" w:sz="0" w:space="0" w:color="auto"/>
        <w:bottom w:val="none" w:sz="0" w:space="0" w:color="auto"/>
        <w:right w:val="none" w:sz="0" w:space="0" w:color="auto"/>
      </w:divBdr>
      <w:divsChild>
        <w:div w:id="1365985077">
          <w:marLeft w:val="0"/>
          <w:marRight w:val="0"/>
          <w:marTop w:val="0"/>
          <w:marBottom w:val="120"/>
          <w:divBdr>
            <w:top w:val="none" w:sz="0" w:space="0" w:color="auto"/>
            <w:left w:val="none" w:sz="0" w:space="0" w:color="auto"/>
            <w:bottom w:val="none" w:sz="0" w:space="0" w:color="auto"/>
            <w:right w:val="none" w:sz="0" w:space="0" w:color="auto"/>
          </w:divBdr>
        </w:div>
      </w:divsChild>
    </w:div>
    <w:div w:id="1432506543">
      <w:bodyDiv w:val="1"/>
      <w:marLeft w:val="0"/>
      <w:marRight w:val="0"/>
      <w:marTop w:val="0"/>
      <w:marBottom w:val="0"/>
      <w:divBdr>
        <w:top w:val="none" w:sz="0" w:space="0" w:color="auto"/>
        <w:left w:val="none" w:sz="0" w:space="0" w:color="auto"/>
        <w:bottom w:val="none" w:sz="0" w:space="0" w:color="auto"/>
        <w:right w:val="none" w:sz="0" w:space="0" w:color="auto"/>
      </w:divBdr>
      <w:divsChild>
        <w:div w:id="819005296">
          <w:marLeft w:val="0"/>
          <w:marRight w:val="0"/>
          <w:marTop w:val="120"/>
          <w:marBottom w:val="0"/>
          <w:divBdr>
            <w:top w:val="none" w:sz="0" w:space="0" w:color="auto"/>
            <w:left w:val="none" w:sz="0" w:space="0" w:color="auto"/>
            <w:bottom w:val="none" w:sz="0" w:space="0" w:color="auto"/>
            <w:right w:val="none" w:sz="0" w:space="0" w:color="auto"/>
          </w:divBdr>
        </w:div>
        <w:div w:id="1855339887">
          <w:marLeft w:val="0"/>
          <w:marRight w:val="0"/>
          <w:marTop w:val="120"/>
          <w:marBottom w:val="0"/>
          <w:divBdr>
            <w:top w:val="none" w:sz="0" w:space="0" w:color="auto"/>
            <w:left w:val="none" w:sz="0" w:space="0" w:color="auto"/>
            <w:bottom w:val="none" w:sz="0" w:space="0" w:color="auto"/>
            <w:right w:val="none" w:sz="0" w:space="0" w:color="auto"/>
          </w:divBdr>
        </w:div>
      </w:divsChild>
    </w:div>
    <w:div w:id="1448306219">
      <w:bodyDiv w:val="1"/>
      <w:marLeft w:val="0"/>
      <w:marRight w:val="0"/>
      <w:marTop w:val="0"/>
      <w:marBottom w:val="0"/>
      <w:divBdr>
        <w:top w:val="none" w:sz="0" w:space="0" w:color="auto"/>
        <w:left w:val="none" w:sz="0" w:space="0" w:color="auto"/>
        <w:bottom w:val="none" w:sz="0" w:space="0" w:color="auto"/>
        <w:right w:val="none" w:sz="0" w:space="0" w:color="auto"/>
      </w:divBdr>
    </w:div>
    <w:div w:id="1460152246">
      <w:bodyDiv w:val="1"/>
      <w:marLeft w:val="0"/>
      <w:marRight w:val="0"/>
      <w:marTop w:val="0"/>
      <w:marBottom w:val="0"/>
      <w:divBdr>
        <w:top w:val="none" w:sz="0" w:space="0" w:color="auto"/>
        <w:left w:val="none" w:sz="0" w:space="0" w:color="auto"/>
        <w:bottom w:val="none" w:sz="0" w:space="0" w:color="auto"/>
        <w:right w:val="none" w:sz="0" w:space="0" w:color="auto"/>
      </w:divBdr>
    </w:div>
    <w:div w:id="1482040563">
      <w:bodyDiv w:val="1"/>
      <w:marLeft w:val="0"/>
      <w:marRight w:val="0"/>
      <w:marTop w:val="0"/>
      <w:marBottom w:val="0"/>
      <w:divBdr>
        <w:top w:val="none" w:sz="0" w:space="0" w:color="auto"/>
        <w:left w:val="none" w:sz="0" w:space="0" w:color="auto"/>
        <w:bottom w:val="none" w:sz="0" w:space="0" w:color="auto"/>
        <w:right w:val="none" w:sz="0" w:space="0" w:color="auto"/>
      </w:divBdr>
    </w:div>
    <w:div w:id="1526627729">
      <w:bodyDiv w:val="1"/>
      <w:marLeft w:val="0"/>
      <w:marRight w:val="0"/>
      <w:marTop w:val="0"/>
      <w:marBottom w:val="0"/>
      <w:divBdr>
        <w:top w:val="none" w:sz="0" w:space="0" w:color="auto"/>
        <w:left w:val="none" w:sz="0" w:space="0" w:color="auto"/>
        <w:bottom w:val="none" w:sz="0" w:space="0" w:color="auto"/>
        <w:right w:val="none" w:sz="0" w:space="0" w:color="auto"/>
      </w:divBdr>
    </w:div>
    <w:div w:id="1611086234">
      <w:bodyDiv w:val="1"/>
      <w:marLeft w:val="0"/>
      <w:marRight w:val="0"/>
      <w:marTop w:val="0"/>
      <w:marBottom w:val="0"/>
      <w:divBdr>
        <w:top w:val="none" w:sz="0" w:space="0" w:color="auto"/>
        <w:left w:val="none" w:sz="0" w:space="0" w:color="auto"/>
        <w:bottom w:val="none" w:sz="0" w:space="0" w:color="auto"/>
        <w:right w:val="none" w:sz="0" w:space="0" w:color="auto"/>
      </w:divBdr>
    </w:div>
    <w:div w:id="1783841372">
      <w:bodyDiv w:val="1"/>
      <w:marLeft w:val="0"/>
      <w:marRight w:val="0"/>
      <w:marTop w:val="0"/>
      <w:marBottom w:val="0"/>
      <w:divBdr>
        <w:top w:val="none" w:sz="0" w:space="0" w:color="auto"/>
        <w:left w:val="none" w:sz="0" w:space="0" w:color="auto"/>
        <w:bottom w:val="none" w:sz="0" w:space="0" w:color="auto"/>
        <w:right w:val="none" w:sz="0" w:space="0" w:color="auto"/>
      </w:divBdr>
    </w:div>
    <w:div w:id="1802729546">
      <w:bodyDiv w:val="1"/>
      <w:marLeft w:val="0"/>
      <w:marRight w:val="0"/>
      <w:marTop w:val="0"/>
      <w:marBottom w:val="0"/>
      <w:divBdr>
        <w:top w:val="none" w:sz="0" w:space="0" w:color="auto"/>
        <w:left w:val="none" w:sz="0" w:space="0" w:color="auto"/>
        <w:bottom w:val="none" w:sz="0" w:space="0" w:color="auto"/>
        <w:right w:val="none" w:sz="0" w:space="0" w:color="auto"/>
      </w:divBdr>
    </w:div>
    <w:div w:id="1842575405">
      <w:bodyDiv w:val="1"/>
      <w:marLeft w:val="0"/>
      <w:marRight w:val="0"/>
      <w:marTop w:val="0"/>
      <w:marBottom w:val="0"/>
      <w:divBdr>
        <w:top w:val="none" w:sz="0" w:space="0" w:color="auto"/>
        <w:left w:val="none" w:sz="0" w:space="0" w:color="auto"/>
        <w:bottom w:val="none" w:sz="0" w:space="0" w:color="auto"/>
        <w:right w:val="none" w:sz="0" w:space="0" w:color="auto"/>
      </w:divBdr>
    </w:div>
    <w:div w:id="1890412645">
      <w:bodyDiv w:val="1"/>
      <w:marLeft w:val="0"/>
      <w:marRight w:val="0"/>
      <w:marTop w:val="0"/>
      <w:marBottom w:val="0"/>
      <w:divBdr>
        <w:top w:val="none" w:sz="0" w:space="0" w:color="auto"/>
        <w:left w:val="none" w:sz="0" w:space="0" w:color="auto"/>
        <w:bottom w:val="none" w:sz="0" w:space="0" w:color="auto"/>
        <w:right w:val="none" w:sz="0" w:space="0" w:color="auto"/>
      </w:divBdr>
    </w:div>
    <w:div w:id="1891190687">
      <w:bodyDiv w:val="1"/>
      <w:marLeft w:val="0"/>
      <w:marRight w:val="0"/>
      <w:marTop w:val="0"/>
      <w:marBottom w:val="0"/>
      <w:divBdr>
        <w:top w:val="none" w:sz="0" w:space="0" w:color="auto"/>
        <w:left w:val="none" w:sz="0" w:space="0" w:color="auto"/>
        <w:bottom w:val="none" w:sz="0" w:space="0" w:color="auto"/>
        <w:right w:val="none" w:sz="0" w:space="0" w:color="auto"/>
      </w:divBdr>
    </w:div>
    <w:div w:id="1985236589">
      <w:bodyDiv w:val="1"/>
      <w:marLeft w:val="0"/>
      <w:marRight w:val="0"/>
      <w:marTop w:val="0"/>
      <w:marBottom w:val="0"/>
      <w:divBdr>
        <w:top w:val="none" w:sz="0" w:space="0" w:color="auto"/>
        <w:left w:val="none" w:sz="0" w:space="0" w:color="auto"/>
        <w:bottom w:val="none" w:sz="0" w:space="0" w:color="auto"/>
        <w:right w:val="none" w:sz="0" w:space="0" w:color="auto"/>
      </w:divBdr>
    </w:div>
    <w:div w:id="2017422522">
      <w:bodyDiv w:val="1"/>
      <w:marLeft w:val="0"/>
      <w:marRight w:val="0"/>
      <w:marTop w:val="0"/>
      <w:marBottom w:val="0"/>
      <w:divBdr>
        <w:top w:val="none" w:sz="0" w:space="0" w:color="auto"/>
        <w:left w:val="none" w:sz="0" w:space="0" w:color="auto"/>
        <w:bottom w:val="none" w:sz="0" w:space="0" w:color="auto"/>
        <w:right w:val="none" w:sz="0" w:space="0" w:color="auto"/>
      </w:divBdr>
    </w:div>
    <w:div w:id="2024285349">
      <w:bodyDiv w:val="1"/>
      <w:marLeft w:val="0"/>
      <w:marRight w:val="0"/>
      <w:marTop w:val="0"/>
      <w:marBottom w:val="0"/>
      <w:divBdr>
        <w:top w:val="none" w:sz="0" w:space="0" w:color="auto"/>
        <w:left w:val="none" w:sz="0" w:space="0" w:color="auto"/>
        <w:bottom w:val="none" w:sz="0" w:space="0" w:color="auto"/>
        <w:right w:val="none" w:sz="0" w:space="0" w:color="auto"/>
      </w:divBdr>
    </w:div>
    <w:div w:id="2082748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yperlink" Target="https://twitter.com/GinaMartinAdams/status/1598431923294150656?cxt=HHwWgIC9mbHX4q4sAAA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qr.com/-/media/AQR/Documents/Insights/Perspectives/Our-Model-Goes-to-Six-and-Saves-Value-From-Redundancy-Along-the-Way.pdf" TargetMode="External"/><Relationship Id="rId7" Type="http://schemas.openxmlformats.org/officeDocument/2006/relationships/hyperlink" Target="https://www.spglobal.com/spdji/en/documents/spiva/spiva-us-mid-year-2022.pdf" TargetMode="External"/><Relationship Id="rId12" Type="http://schemas.microsoft.com/office/2016/09/relationships/commentsIds" Target="commentsIds.xml"/><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cmtassociation.org/wp-content/uploads/2020/03/Cain-and-Connors-2020-Dow-Award-1.pdf" TargetMode="External"/><Relationship Id="rId20" Type="http://schemas.openxmlformats.org/officeDocument/2006/relationships/hyperlink" Target="https://www.cfainstitute.org/en/research/cfa-digest/2019/04/dig-v49-n4-4"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nber.org/papers/w23394" TargetMode="External"/><Relationship Id="rId28"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https://doi.org/10.1093/rfs/hhu068" TargetMode="External"/><Relationship Id="rId4" Type="http://schemas.openxmlformats.org/officeDocument/2006/relationships/webSettings" Target="webSettings.xml"/><Relationship Id="rId9" Type="http://schemas.openxmlformats.org/officeDocument/2006/relationships/hyperlink" Target="https://www.sciencedirect.com/topics/economics-econometrics-and-finance/capital-market-returns" TargetMode="External"/><Relationship Id="rId14" Type="http://schemas.openxmlformats.org/officeDocument/2006/relationships/image" Target="media/image2.png"/><Relationship Id="rId22" Type="http://schemas.openxmlformats.org/officeDocument/2006/relationships/hyperlink" Target="https://papers.ssrn.com/sol3/papers.cfm?abstract_id=3497867" TargetMode="Externa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hempelwealt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8156</TotalTime>
  <Pages>30</Pages>
  <Words>9986</Words>
  <Characters>56925</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Blake Hempel</cp:lastModifiedBy>
  <cp:revision>10</cp:revision>
  <cp:lastPrinted>2020-12-21T23:03:00Z</cp:lastPrinted>
  <dcterms:created xsi:type="dcterms:W3CDTF">2023-03-03T21:17:00Z</dcterms:created>
  <dcterms:modified xsi:type="dcterms:W3CDTF">2023-03-21T19:26:00Z</dcterms:modified>
</cp:coreProperties>
</file>