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7D2DE" w:sz="1" w:space="8"/>
        </w:pBdr>
        <w:spacing w:after="180" w:before="260" w:line="280"/>
      </w:pPr>
      <w:r>
        <w:rPr>
          <w:rFonts w:ascii="Cambria" w:cs="Cambria" w:eastAsia="Cambria" w:hAnsi="Cambria"/>
          <w:b/>
          <w:bCs/>
          <w:color w:val="1F2A37"/>
          <w:sz w:val="34"/>
          <w:szCs w:val="34"/>
        </w:rPr>
        <w:t xml:space="preserve">Jewelry Retail. Geography: North America. - PE Market Research Memo</w:t>
      </w:r>
    </w:p>
    <w:p>
      <w:pPr>
        <w:spacing w:after="70" w:before="20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Executive Read:</w:t>
      </w:r>
      <w:r>
        <w:rPr>
          <w:rFonts w:ascii="Cambria" w:cs="Cambria" w:eastAsia="Cambria" w:hAnsi="Cambria"/>
          <w:sz w:val="20"/>
          <w:szCs w:val="20"/>
        </w:rPr>
        <w:t xml:space="preserve"> The North American jewelry retail market is large but faces structural headwinds. Fragmentation is high, and buy-and-build potential exists, but any platform must prove omnichannel relevance, inventory discipline, and a value proposition that withstands cyclical downturns.</w:t>
      </w:r>
    </w:p>
    <w:p>
      <w:pPr>
        <w:spacing w:after="0" w:before="30"/>
      </w:pPr>
    </w:p>
    <w:p>
      <w:pPr>
        <w:pStyle w:val="Heading2"/>
        <w:pBdr>
          <w:bottom w:val="single" w:color="D6DEE7" w:sz="1" w:space="4"/>
        </w:pBdr>
        <w:spacing w:after="90" w:before="240" w:line="270"/>
      </w:pPr>
      <w:r>
        <w:rPr>
          <w:rFonts w:ascii="Cambria" w:cs="Cambria" w:eastAsia="Cambria" w:hAnsi="Cambria"/>
          <w:b/>
          <w:bCs/>
          <w:color w:val="1F2A37"/>
          <w:sz w:val="26"/>
          <w:szCs w:val="26"/>
        </w:rPr>
        <w:t xml:space="preserve">Market Definition</w:t>
      </w:r>
    </w:p>
    <w:p>
      <w:pPr>
        <w:spacing w:after="70" w:before="20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Market Definition:</w:t>
      </w:r>
      <w:r>
        <w:rPr>
          <w:rFonts w:ascii="Cambria" w:cs="Cambria" w:eastAsia="Cambria" w:hAnsi="Cambria"/>
          <w:sz w:val="20"/>
          <w:szCs w:val="20"/>
        </w:rPr>
        <w:t xml:space="preserve"> The market includes fine and costume jewelry sold through offline and online channels to end consumers.</w:t>
      </w:r>
    </w:p>
    <w:p>
      <w:pPr>
        <w:spacing w:after="0" w:before="30"/>
      </w:pP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Product scope.</w:t>
      </w:r>
      <w:r>
        <w:rPr>
          <w:rFonts w:ascii="Cambria" w:cs="Cambria" w:eastAsia="Cambria" w:hAnsi="Cambria"/>
          <w:sz w:val="20"/>
          <w:szCs w:val="20"/>
        </w:rPr>
        <w:t xml:space="preserve"> Includes rings, necklaces, earrings, bracelets, watches, and other adornments made from precious metals, gemstones, and alternative materials.</w:t>
      </w: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Geography.</w:t>
      </w:r>
      <w:r>
        <w:rPr>
          <w:rFonts w:ascii="Cambria" w:cs="Cambria" w:eastAsia="Cambria" w:hAnsi="Cambria"/>
          <w:sz w:val="20"/>
          <w:szCs w:val="20"/>
        </w:rPr>
        <w:t xml:space="preserve"> North America is defined as the US, Canada, and Mexico. The US accounts for the majority of revenue.</w:t>
      </w: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Channel split.</w:t>
      </w:r>
      <w:r>
        <w:rPr>
          <w:rFonts w:ascii="Cambria" w:cs="Cambria" w:eastAsia="Cambria" w:hAnsi="Cambria"/>
          <w:sz w:val="20"/>
          <w:szCs w:val="20"/>
        </w:rPr>
        <w:t xml:space="preserve"> Offline remains the backbone, but online is gaining share.</w:t>
      </w:r>
    </w:p>
    <w:p>
      <w:pPr>
        <w:spacing w:after="0" w:before="30"/>
      </w:pPr>
    </w:p>
    <w:p>
      <w:pPr>
        <w:pStyle w:val="Heading3"/>
        <w:spacing w:after="70" w:before="180" w:line="260"/>
      </w:pPr>
      <w:r>
        <w:rPr>
          <w:rFonts w:ascii="Cambria" w:cs="Cambria" w:eastAsia="Cambria" w:hAnsi="Cambria"/>
          <w:b/>
          <w:bCs/>
          <w:color w:val="1F2A37"/>
          <w:sz w:val="22"/>
          <w:szCs w:val="22"/>
        </w:rPr>
        <w:t xml:space="preserve">Source Quality Assessment</w:t>
      </w: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High Quality:</w:t>
      </w:r>
      <w:r>
        <w:rPr>
          <w:rFonts w:ascii="Cambria" w:cs="Cambria" w:eastAsia="Cambria" w:hAnsi="Cambria"/>
          <w:sz w:val="20"/>
          <w:szCs w:val="20"/>
        </w:rPr>
        <w:t xml:space="preserve"> Company filings and industry revenue sources for trend and margin context.</w:t>
      </w: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Medium Quality:</w:t>
      </w:r>
      <w:r>
        <w:rPr>
          <w:rFonts w:ascii="Cambria" w:cs="Cambria" w:eastAsia="Cambria" w:hAnsi="Cambria"/>
          <w:sz w:val="20"/>
          <w:szCs w:val="20"/>
        </w:rPr>
        <w:t xml:space="preserve"> Market research reports provide directional sizing and growth rates.</w:t>
      </w:r>
    </w:p>
    <w:p>
      <w:pPr>
        <w:pStyle w:val="ListParagraph"/>
        <w:numPr>
          <w:ilvl w:val="0"/>
          <w:numId w:val="1"/>
        </w:numPr>
        <w:spacing w:after="55" w:before="25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Low Quality:</w:t>
      </w:r>
      <w:r>
        <w:rPr>
          <w:rFonts w:ascii="Cambria" w:cs="Cambria" w:eastAsia="Cambria" w:hAnsi="Cambria"/>
          <w:sz w:val="20"/>
          <w:szCs w:val="20"/>
        </w:rPr>
        <w:t xml:space="preserve"> Blogs and social posts are only sanity checks.</w:t>
      </w:r>
    </w:p>
    <w:p>
      <w:pPr>
        <w:spacing w:after="0" w:before="30"/>
      </w:pPr>
    </w:p>
    <w:p>
      <w:pPr>
        <w:pStyle w:val="Heading2"/>
        <w:pBdr>
          <w:bottom w:val="single" w:color="D6DEE7" w:sz="1" w:space="4"/>
        </w:pBdr>
        <w:spacing w:after="90" w:before="240" w:line="270"/>
      </w:pPr>
      <w:r>
        <w:rPr>
          <w:rFonts w:ascii="Cambria" w:cs="Cambria" w:eastAsia="Cambria" w:hAnsi="Cambria"/>
          <w:b/>
          <w:bCs/>
          <w:color w:val="1F2A37"/>
          <w:sz w:val="26"/>
          <w:szCs w:val="26"/>
        </w:rPr>
        <w:t xml:space="preserve">Industry Metrics, KPIs, and Valuation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340"/>
            <w:tcBorders>
              <w:bottom w:val="single" w:color="C7D2DE" w:sz="1"/>
            </w:tcBorders>
            <w:shd w:fill="F2F6F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mbria" w:cs="Cambria" w:eastAsia="Cambria" w:hAnsi="Cambria"/>
                <w:b/>
                <w:bCs/>
                <w:color w:val="134E82"/>
                <w:sz w:val="18"/>
                <w:szCs w:val="18"/>
              </w:rPr>
              <w:t xml:space="preserve">Metric / KPI</w:t>
            </w:r>
          </w:p>
        </w:tc>
        <w:tc>
          <w:tcPr>
            <w:tcW w:type="dxa" w:w="2340"/>
            <w:tcBorders>
              <w:bottom w:val="single" w:color="C7D2DE" w:sz="1"/>
            </w:tcBorders>
            <w:shd w:fill="F2F6F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mbria" w:cs="Cambria" w:eastAsia="Cambria" w:hAnsi="Cambria"/>
                <w:b/>
                <w:bCs/>
                <w:color w:val="134E82"/>
                <w:sz w:val="18"/>
                <w:szCs w:val="18"/>
              </w:rPr>
              <w:t xml:space="preserve">Directional Range or Read</w:t>
            </w:r>
          </w:p>
        </w:tc>
        <w:tc>
          <w:tcPr>
            <w:tcW w:type="dxa" w:w="2340"/>
            <w:tcBorders>
              <w:bottom w:val="single" w:color="C7D2DE" w:sz="1"/>
            </w:tcBorders>
            <w:shd w:fill="F2F6F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mbria" w:cs="Cambria" w:eastAsia="Cambria" w:hAnsi="Cambria"/>
                <w:b/>
                <w:bCs/>
                <w:color w:val="134E82"/>
                <w:sz w:val="18"/>
                <w:szCs w:val="18"/>
              </w:rPr>
              <w:t xml:space="preserve">Source Basis</w:t>
            </w:r>
          </w:p>
        </w:tc>
        <w:tc>
          <w:tcPr>
            <w:tcW w:type="dxa" w:w="2340"/>
            <w:tcBorders>
              <w:bottom w:val="single" w:color="C7D2DE" w:sz="1"/>
            </w:tcBorders>
            <w:shd w:fill="F2F6FA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Cambria" w:cs="Cambria" w:eastAsia="Cambria" w:hAnsi="Cambria"/>
                <w:b/>
                <w:bCs/>
                <w:color w:val="134E82"/>
                <w:sz w:val="18"/>
                <w:szCs w:val="18"/>
              </w:rPr>
              <w:t xml:space="preserve">Diligence Implication</w:t>
            </w:r>
          </w:p>
        </w:tc>
      </w:tr>
      <w:tr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40-85%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 depending on model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Public comps and market reports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Validate channel mix and private-label penetration</w:t>
            </w:r>
          </w:p>
        </w:tc>
      </w:tr>
      <w:tr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Inventory turns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1.0-2.5x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 for many jewelers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Public-company disclosures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Test markdown exposure and working-capital drag</w:t>
            </w:r>
          </w:p>
        </w:tc>
      </w:tr>
      <w:tr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EBITDA margin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b/>
                <w:bCs/>
                <w:sz w:val="18"/>
                <w:szCs w:val="18"/>
              </w:rPr>
              <w:t xml:space="preserve">8-22%</w:t>
            </w:r>
            <w:r>
              <w:rPr>
                <w:rFonts w:ascii="Cambria" w:cs="Cambria" w:eastAsia="Cambria" w:hAnsi="Cambria"/>
                <w:sz w:val="18"/>
                <w:szCs w:val="18"/>
              </w:rPr>
              <w:t xml:space="preserve"> depending on scale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Public comps and sponsor materials</w:t>
            </w:r>
          </w:p>
        </w:tc>
        <w:tc>
          <w:tcPr>
            <w:tcW w:type="dxa" w:w="2340"/>
            <w:tcBorders>
              <w:bottom w:val="single" w:color="D6DEE7" w:sz="1"/>
            </w:tcBorders>
            <w:tcMar>
              <w:top w:type="dxa" w:w="130"/>
              <w:left w:type="dxa" w:w="140"/>
              <w:bottom w:type="dxa" w:w="130"/>
              <w:right w:type="dxa" w:w="140"/>
            </w:tcMar>
          </w:tcPr>
          <w:p>
            <w:r>
              <w:rPr>
                <w:rFonts w:ascii="Cambria" w:cs="Cambria" w:eastAsia="Cambria" w:hAnsi="Cambria"/>
                <w:sz w:val="18"/>
                <w:szCs w:val="18"/>
              </w:rPr>
              <w:t xml:space="preserve">Normalize for store-level labor and advertising intensity</w:t>
            </w:r>
          </w:p>
        </w:tc>
      </w:tr>
    </w:tbl>
    <w:p>
      <w:pPr>
        <w:spacing w:after="0" w:before="30"/>
      </w:pPr>
    </w:p>
    <w:p>
      <w:pPr>
        <w:spacing w:after="70" w:before="20" w:line="280"/>
      </w:pPr>
      <w:r>
        <w:rPr>
          <w:rFonts w:ascii="Cambria" w:cs="Cambria" w:eastAsia="Cambria" w:hAnsi="Cambria"/>
          <w:b/>
          <w:bCs/>
          <w:sz w:val="20"/>
          <w:szCs w:val="20"/>
        </w:rPr>
        <w:t xml:space="preserve">Why PE Cares:</w:t>
      </w:r>
      <w:r>
        <w:rPr>
          <w:rFonts w:ascii="Cambria" w:cs="Cambria" w:eastAsia="Cambria" w:hAnsi="Cambria"/>
          <w:sz w:val="20"/>
          <w:szCs w:val="20"/>
        </w:rPr>
        <w:t xml:space="preserve"> The market rewards operators who combine trusted local brands with centralized merchandising, data-driven inventory, and disciplined working capital.</w:t>
      </w:r>
    </w:p>
    <w:p>
      <w:pPr>
        <w:spacing w:after="0" w:before="30"/>
      </w:pPr>
    </w:p>
    <w:p>
      <w:pPr>
        <w:pStyle w:val="ListParagraph"/>
        <w:numPr>
          <w:ilvl w:val="0"/>
          <w:numId w:val="2"/>
        </w:numPr>
        <w:spacing w:after="55" w:before="25" w:line="280"/>
      </w:pPr>
      <w:r>
        <w:rPr>
          <w:rFonts w:ascii="Cambria" w:cs="Cambria" w:eastAsia="Cambria" w:hAnsi="Cambria"/>
          <w:sz w:val="20"/>
          <w:szCs w:val="20"/>
        </w:rPr>
        <w:t xml:space="preserve">Prioritize recurring repair, warranty, appraisal, and custom-design revenue.</w:t>
      </w:r>
    </w:p>
    <w:p>
      <w:pPr>
        <w:pStyle w:val="ListParagraph"/>
        <w:numPr>
          <w:ilvl w:val="0"/>
          <w:numId w:val="2"/>
        </w:numPr>
        <w:spacing w:after="55" w:before="25" w:line="280"/>
      </w:pPr>
      <w:r>
        <w:rPr>
          <w:rFonts w:ascii="Cambria" w:cs="Cambria" w:eastAsia="Cambria" w:hAnsi="Cambria"/>
          <w:sz w:val="20"/>
          <w:szCs w:val="20"/>
        </w:rPr>
        <w:t xml:space="preserve">Pressure-test omnichannel execution before underwriting store expansion.</w:t>
      </w:r>
    </w:p>
    <w:p>
      <w:pPr>
        <w:pStyle w:val="ListParagraph"/>
        <w:numPr>
          <w:ilvl w:val="0"/>
          <w:numId w:val="2"/>
        </w:numPr>
        <w:spacing w:after="55" w:before="25" w:line="280"/>
      </w:pPr>
      <w:r>
        <w:rPr>
          <w:rFonts w:ascii="Cambria" w:cs="Cambria" w:eastAsia="Cambria" w:hAnsi="Cambria"/>
          <w:sz w:val="20"/>
          <w:szCs w:val="20"/>
        </w:rPr>
        <w:t xml:space="preserve">Validate whether customer acquisition costs are structurally rising.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mbria" w:cs="Cambria" w:eastAsia="Cambria" w:hAnsi="Cambria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EE7" w:sz="1" w:space="6"/>
      </w:pBdr>
      <w:spacing w:after="80"/>
    </w:pPr>
    <w:r>
      <w:rPr>
        <w:rFonts w:ascii="Cambria" w:cs="Cambria" w:eastAsia="Cambria" w:hAnsi="Cambria"/>
        <w:b/>
        <w:bCs/>
        <w:color w:val="1F2A37"/>
        <w:sz w:val="20"/>
        <w:szCs w:val="20"/>
      </w:rPr>
      <w:t xml:space="preserve">Ops</w:t>
    </w:r>
    <w:r>
      <w:rPr>
        <w:rFonts w:ascii="Cambria" w:cs="Cambria" w:eastAsia="Cambria" w:hAnsi="Cambria"/>
        <w:b/>
        <w:bCs/>
        <w:i/>
        <w:iCs/>
        <w:color w:val="2D63A8"/>
        <w:sz w:val="21"/>
        <w:szCs w:val="21"/>
      </w:rPr>
      <w:t xml:space="preserve">2</w:t>
    </w:r>
    <w:r>
      <w:rPr>
        <w:rFonts w:ascii="Cambria" w:cs="Cambria" w:eastAsia="Cambria" w:hAnsi="Cambria"/>
        <w:b/>
        <w:bCs/>
        <w:color w:val="1F2A37"/>
        <w:sz w:val="20"/>
        <w:szCs w:val="20"/>
      </w:rPr>
      <w:t xml:space="preserve">EBITDA</w:t>
    </w:r>
    <w:r>
      <w:rPr>
        <w:rFonts w:ascii="Cambria" w:cs="Cambria" w:eastAsia="Cambria" w:hAnsi="Cambria"/>
        <w:color w:val="64748B"/>
        <w:sz w:val="18"/>
        <w:szCs w:val="18"/>
      </w:rPr>
      <w:t xml:space="preserve">    Atlas IQ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2026-07-05T02:34:11.271Z</dcterms:created>
  <dcterms:modified xsi:type="dcterms:W3CDTF">2026-07-05T02:34:11.271Z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