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Arial" w:hAnsi="Arial"/>
          <w:b/>
          <w:color w:val="B8862F"/>
          <w:sz w:val="16"/>
        </w:rPr>
        <w:t>AI PROJECT KIT</w:t>
      </w:r>
    </w:p>
    <w:p>
      <w:pPr>
        <w:pStyle w:val="Heading1"/>
        <w:spacing w:after="80"/>
      </w:pPr>
      <w:r>
        <w:t>AI Project Kit Store Catalog</w:t>
      </w:r>
    </w:p>
    <w:p>
      <w:pPr>
        <w:spacing w:after="240"/>
      </w:pPr>
      <w:r>
        <w:rPr>
          <w:rFonts w:ascii="Arial" w:hAnsi="Arial" w:eastAsia="Arial"/>
          <w:color w:val="928B7E"/>
          <w:sz w:val="21"/>
        </w:rPr>
        <w:t>Commercial catalog and bundle map for the Ops2EBITDA AI project library.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B8862F"/>
          </w:tcPr>
          <w:p>
            <w:r/>
          </w:p>
        </w:tc>
      </w:tr>
    </w:tbl>
    <w:p>
      <w:pPr>
        <w:pStyle w:val="Heading1"/>
        <w:spacing w:before="200"/>
      </w:pPr>
      <w:r>
        <w:t>Ops2EBITDA AI Project Kits — Store Catalog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top"/>
            <w:tcBorders>
              <w:top w:val="single" w:sz="4" w:space="0" w:color="DED8CD"/>
              <w:left w:val="single" w:sz="4" w:space="0" w:color="DED8CD"/>
              <w:bottom w:val="single" w:sz="4" w:space="0" w:color="DED8CD"/>
              <w:right w:val="single" w:sz="4" w:space="0" w:color="DED8CD"/>
            </w:tcBorders>
            <w:shd w:fill="161413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color w:val="FFFFFF"/>
                <w:sz w:val="17"/>
              </w:rPr>
              <w:t>#</w:t>
            </w:r>
          </w:p>
        </w:tc>
        <w:tc>
          <w:tcPr>
            <w:tcW w:type="dxa" w:w="3408"/>
            <w:vAlign w:val="top"/>
            <w:tcBorders>
              <w:top w:val="single" w:sz="4" w:space="0" w:color="DED8CD"/>
              <w:left w:val="single" w:sz="4" w:space="0" w:color="DED8CD"/>
              <w:bottom w:val="single" w:sz="4" w:space="0" w:color="DED8CD"/>
              <w:right w:val="single" w:sz="4" w:space="0" w:color="DED8CD"/>
            </w:tcBorders>
            <w:shd w:fill="161413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color w:val="FFFFFF"/>
                <w:sz w:val="17"/>
              </w:rPr>
              <w:t>Project Kit</w:t>
            </w:r>
          </w:p>
        </w:tc>
        <w:tc>
          <w:tcPr>
            <w:tcW w:type="dxa" w:w="3408"/>
            <w:vAlign w:val="top"/>
            <w:tcBorders>
              <w:top w:val="single" w:sz="4" w:space="0" w:color="DED8CD"/>
              <w:left w:val="single" w:sz="4" w:space="0" w:color="DED8CD"/>
              <w:bottom w:val="single" w:sz="4" w:space="0" w:color="DED8CD"/>
              <w:right w:val="single" w:sz="4" w:space="0" w:color="DED8CD"/>
            </w:tcBorders>
            <w:shd w:fill="161413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color w:val="FFFFFF"/>
                <w:sz w:val="17"/>
              </w:rPr>
              <w:t>Purpose</w:t>
            </w:r>
          </w:p>
        </w:tc>
      </w:tr>
      <w:tr>
        <w:tc>
          <w:tcPr>
            <w:tcW w:type="dxa" w:w="3408"/>
            <w:vAlign w:val="top"/>
            <w:tcBorders>
              <w:top w:val="single" w:sz="4" w:space="0" w:color="DED8CD"/>
              <w:left w:val="single" w:sz="4" w:space="0" w:color="DED8CD"/>
              <w:bottom w:val="single" w:sz="4" w:space="0" w:color="DED8CD"/>
              <w:right w:val="single" w:sz="4" w:space="0" w:color="DED8CD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color w:val="161413"/>
                <w:sz w:val="17"/>
              </w:rPr>
              <w:t>1</w:t>
            </w:r>
          </w:p>
        </w:tc>
        <w:tc>
          <w:tcPr>
            <w:tcW w:type="dxa" w:w="3408"/>
            <w:vAlign w:val="top"/>
            <w:tcBorders>
              <w:top w:val="single" w:sz="4" w:space="0" w:color="DED8CD"/>
              <w:left w:val="single" w:sz="4" w:space="0" w:color="DED8CD"/>
              <w:bottom w:val="single" w:sz="4" w:space="0" w:color="DED8CD"/>
              <w:right w:val="single" w:sz="4" w:space="0" w:color="DED8CD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color w:val="161413"/>
                <w:sz w:val="17"/>
              </w:rPr>
              <w:t>Operating Partner Copilot</w:t>
            </w:r>
          </w:p>
        </w:tc>
        <w:tc>
          <w:tcPr>
            <w:tcW w:type="dxa" w:w="3408"/>
            <w:vAlign w:val="top"/>
            <w:tcBorders>
              <w:top w:val="single" w:sz="4" w:space="0" w:color="DED8CD"/>
              <w:left w:val="single" w:sz="4" w:space="0" w:color="DED8CD"/>
              <w:bottom w:val="single" w:sz="4" w:space="0" w:color="DED8CD"/>
              <w:right w:val="single" w:sz="4" w:space="0" w:color="DED8CD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color w:val="161413"/>
                <w:sz w:val="17"/>
              </w:rPr>
              <w:t>Daily thinking partner for portfolio performance, risks, opportunities, and operating judgment.</w:t>
            </w:r>
          </w:p>
        </w:tc>
      </w:tr>
      <w:tr>
        <w:tc>
          <w:tcPr>
            <w:tcW w:type="dxa" w:w="3408"/>
            <w:vAlign w:val="top"/>
            <w:tcBorders>
              <w:top w:val="single" w:sz="4" w:space="0" w:color="DED8CD"/>
              <w:left w:val="single" w:sz="4" w:space="0" w:color="DED8CD"/>
              <w:bottom w:val="single" w:sz="4" w:space="0" w:color="DED8CD"/>
              <w:right w:val="single" w:sz="4" w:space="0" w:color="DED8CD"/>
            </w:tcBorders>
            <w:shd w:fill="FBF8F2"/>
          </w:tcPr>
          <w:p>
            <w:pPr>
              <w:spacing w:after="0"/>
            </w:pPr>
            <w:r/>
            <w:r>
              <w:rPr>
                <w:rFonts w:ascii="Arial" w:hAnsi="Arial" w:eastAsia="Arial"/>
                <w:color w:val="161413"/>
                <w:sz w:val="17"/>
              </w:rPr>
              <w:t>2</w:t>
            </w:r>
          </w:p>
        </w:tc>
        <w:tc>
          <w:tcPr>
            <w:tcW w:type="dxa" w:w="3408"/>
            <w:vAlign w:val="top"/>
            <w:tcBorders>
              <w:top w:val="single" w:sz="4" w:space="0" w:color="DED8CD"/>
              <w:left w:val="single" w:sz="4" w:space="0" w:color="DED8CD"/>
              <w:bottom w:val="single" w:sz="4" w:space="0" w:color="DED8CD"/>
              <w:right w:val="single" w:sz="4" w:space="0" w:color="DED8CD"/>
            </w:tcBorders>
            <w:shd w:fill="FBF8F2"/>
          </w:tcPr>
          <w:p>
            <w:pPr>
              <w:spacing w:after="0"/>
            </w:pPr>
            <w:r/>
            <w:r>
              <w:rPr>
                <w:rFonts w:ascii="Arial" w:hAnsi="Arial" w:eastAsia="Arial"/>
                <w:color w:val="161413"/>
                <w:sz w:val="17"/>
              </w:rPr>
              <w:t>Board Pack &amp; Executive Update Builder</w:t>
            </w:r>
          </w:p>
        </w:tc>
        <w:tc>
          <w:tcPr>
            <w:tcW w:type="dxa" w:w="3408"/>
            <w:vAlign w:val="top"/>
            <w:tcBorders>
              <w:top w:val="single" w:sz="4" w:space="0" w:color="DED8CD"/>
              <w:left w:val="single" w:sz="4" w:space="0" w:color="DED8CD"/>
              <w:bottom w:val="single" w:sz="4" w:space="0" w:color="DED8CD"/>
              <w:right w:val="single" w:sz="4" w:space="0" w:color="DED8CD"/>
            </w:tcBorders>
            <w:shd w:fill="FBF8F2"/>
          </w:tcPr>
          <w:p>
            <w:pPr>
              <w:spacing w:after="0"/>
            </w:pPr>
            <w:r/>
            <w:r>
              <w:rPr>
                <w:rFonts w:ascii="Arial" w:hAnsi="Arial" w:eastAsia="Arial"/>
                <w:color w:val="161413"/>
                <w:sz w:val="17"/>
              </w:rPr>
              <w:t>Turns operating updates, KPI data, and initiative progress into board-ready communication.</w:t>
            </w:r>
          </w:p>
        </w:tc>
      </w:tr>
      <w:tr>
        <w:tc>
          <w:tcPr>
            <w:tcW w:type="dxa" w:w="3408"/>
            <w:vAlign w:val="top"/>
            <w:tcBorders>
              <w:top w:val="single" w:sz="4" w:space="0" w:color="DED8CD"/>
              <w:left w:val="single" w:sz="4" w:space="0" w:color="DED8CD"/>
              <w:bottom w:val="single" w:sz="4" w:space="0" w:color="DED8CD"/>
              <w:right w:val="single" w:sz="4" w:space="0" w:color="DED8CD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color w:val="161413"/>
                <w:sz w:val="17"/>
              </w:rPr>
              <w:t>3</w:t>
            </w:r>
          </w:p>
        </w:tc>
        <w:tc>
          <w:tcPr>
            <w:tcW w:type="dxa" w:w="3408"/>
            <w:vAlign w:val="top"/>
            <w:tcBorders>
              <w:top w:val="single" w:sz="4" w:space="0" w:color="DED8CD"/>
              <w:left w:val="single" w:sz="4" w:space="0" w:color="DED8CD"/>
              <w:bottom w:val="single" w:sz="4" w:space="0" w:color="DED8CD"/>
              <w:right w:val="single" w:sz="4" w:space="0" w:color="DED8CD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color w:val="161413"/>
                <w:sz w:val="17"/>
              </w:rPr>
              <w:t>Management Meeting Prep Project</w:t>
            </w:r>
          </w:p>
        </w:tc>
        <w:tc>
          <w:tcPr>
            <w:tcW w:type="dxa" w:w="3408"/>
            <w:vAlign w:val="top"/>
            <w:tcBorders>
              <w:top w:val="single" w:sz="4" w:space="0" w:color="DED8CD"/>
              <w:left w:val="single" w:sz="4" w:space="0" w:color="DED8CD"/>
              <w:bottom w:val="single" w:sz="4" w:space="0" w:color="DED8CD"/>
              <w:right w:val="single" w:sz="4" w:space="0" w:color="DED8CD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color w:val="161413"/>
                <w:sz w:val="17"/>
              </w:rPr>
              <w:t>Prepares users for CEO, CFO, and functional leader meetings.</w:t>
            </w:r>
          </w:p>
        </w:tc>
      </w:tr>
      <w:tr>
        <w:tc>
          <w:tcPr>
            <w:tcW w:type="dxa" w:w="3408"/>
            <w:vAlign w:val="top"/>
            <w:tcBorders>
              <w:top w:val="single" w:sz="4" w:space="0" w:color="DED8CD"/>
              <w:left w:val="single" w:sz="4" w:space="0" w:color="DED8CD"/>
              <w:bottom w:val="single" w:sz="4" w:space="0" w:color="DED8CD"/>
              <w:right w:val="single" w:sz="4" w:space="0" w:color="DED8CD"/>
            </w:tcBorders>
            <w:shd w:fill="FBF8F2"/>
          </w:tcPr>
          <w:p>
            <w:pPr>
              <w:spacing w:after="0"/>
            </w:pPr>
            <w:r/>
            <w:r>
              <w:rPr>
                <w:rFonts w:ascii="Arial" w:hAnsi="Arial" w:eastAsia="Arial"/>
                <w:color w:val="161413"/>
                <w:sz w:val="17"/>
              </w:rPr>
              <w:t>4</w:t>
            </w:r>
          </w:p>
        </w:tc>
        <w:tc>
          <w:tcPr>
            <w:tcW w:type="dxa" w:w="3408"/>
            <w:vAlign w:val="top"/>
            <w:tcBorders>
              <w:top w:val="single" w:sz="4" w:space="0" w:color="DED8CD"/>
              <w:left w:val="single" w:sz="4" w:space="0" w:color="DED8CD"/>
              <w:bottom w:val="single" w:sz="4" w:space="0" w:color="DED8CD"/>
              <w:right w:val="single" w:sz="4" w:space="0" w:color="DED8CD"/>
            </w:tcBorders>
            <w:shd w:fill="FBF8F2"/>
          </w:tcPr>
          <w:p>
            <w:pPr>
              <w:spacing w:after="0"/>
            </w:pPr>
            <w:r/>
            <w:r>
              <w:rPr>
                <w:rFonts w:ascii="Arial" w:hAnsi="Arial" w:eastAsia="Arial"/>
                <w:color w:val="161413"/>
                <w:sz w:val="17"/>
              </w:rPr>
              <w:t>KPI Diagnostic &amp; Root Cause Project</w:t>
            </w:r>
          </w:p>
        </w:tc>
        <w:tc>
          <w:tcPr>
            <w:tcW w:type="dxa" w:w="3408"/>
            <w:vAlign w:val="top"/>
            <w:tcBorders>
              <w:top w:val="single" w:sz="4" w:space="0" w:color="DED8CD"/>
              <w:left w:val="single" w:sz="4" w:space="0" w:color="DED8CD"/>
              <w:bottom w:val="single" w:sz="4" w:space="0" w:color="DED8CD"/>
              <w:right w:val="single" w:sz="4" w:space="0" w:color="DED8CD"/>
            </w:tcBorders>
            <w:shd w:fill="FBF8F2"/>
          </w:tcPr>
          <w:p>
            <w:pPr>
              <w:spacing w:after="0"/>
            </w:pPr>
            <w:r/>
            <w:r>
              <w:rPr>
                <w:rFonts w:ascii="Arial" w:hAnsi="Arial" w:eastAsia="Arial"/>
                <w:color w:val="161413"/>
                <w:sz w:val="17"/>
              </w:rPr>
              <w:t>Diagnoses movement in revenue, margin, cash, churn, productivity, and operating metrics.</w:t>
            </w:r>
          </w:p>
        </w:tc>
      </w:tr>
      <w:tr>
        <w:tc>
          <w:tcPr>
            <w:tcW w:type="dxa" w:w="3408"/>
            <w:vAlign w:val="top"/>
            <w:tcBorders>
              <w:top w:val="single" w:sz="4" w:space="0" w:color="DED8CD"/>
              <w:left w:val="single" w:sz="4" w:space="0" w:color="DED8CD"/>
              <w:bottom w:val="single" w:sz="4" w:space="0" w:color="DED8CD"/>
              <w:right w:val="single" w:sz="4" w:space="0" w:color="DED8CD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color w:val="161413"/>
                <w:sz w:val="17"/>
              </w:rPr>
              <w:t>5</w:t>
            </w:r>
          </w:p>
        </w:tc>
        <w:tc>
          <w:tcPr>
            <w:tcW w:type="dxa" w:w="3408"/>
            <w:vAlign w:val="top"/>
            <w:tcBorders>
              <w:top w:val="single" w:sz="4" w:space="0" w:color="DED8CD"/>
              <w:left w:val="single" w:sz="4" w:space="0" w:color="DED8CD"/>
              <w:bottom w:val="single" w:sz="4" w:space="0" w:color="DED8CD"/>
              <w:right w:val="single" w:sz="4" w:space="0" w:color="DED8CD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color w:val="161413"/>
                <w:sz w:val="17"/>
              </w:rPr>
              <w:t>Value Creation Plan Builder</w:t>
            </w:r>
          </w:p>
        </w:tc>
        <w:tc>
          <w:tcPr>
            <w:tcW w:type="dxa" w:w="3408"/>
            <w:vAlign w:val="top"/>
            <w:tcBorders>
              <w:top w:val="single" w:sz="4" w:space="0" w:color="DED8CD"/>
              <w:left w:val="single" w:sz="4" w:space="0" w:color="DED8CD"/>
              <w:bottom w:val="single" w:sz="4" w:space="0" w:color="DED8CD"/>
              <w:right w:val="single" w:sz="4" w:space="0" w:color="DED8CD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color w:val="161413"/>
                <w:sz w:val="17"/>
              </w:rPr>
              <w:t>Converts diligence findings and initiative ideas into structured value creation plans.</w:t>
            </w:r>
          </w:p>
        </w:tc>
      </w:tr>
      <w:tr>
        <w:tc>
          <w:tcPr>
            <w:tcW w:type="dxa" w:w="3408"/>
            <w:vAlign w:val="top"/>
            <w:tcBorders>
              <w:top w:val="single" w:sz="4" w:space="0" w:color="DED8CD"/>
              <w:left w:val="single" w:sz="4" w:space="0" w:color="DED8CD"/>
              <w:bottom w:val="single" w:sz="4" w:space="0" w:color="DED8CD"/>
              <w:right w:val="single" w:sz="4" w:space="0" w:color="DED8CD"/>
            </w:tcBorders>
            <w:shd w:fill="FBF8F2"/>
          </w:tcPr>
          <w:p>
            <w:pPr>
              <w:spacing w:after="0"/>
            </w:pPr>
            <w:r/>
            <w:r>
              <w:rPr>
                <w:rFonts w:ascii="Arial" w:hAnsi="Arial" w:eastAsia="Arial"/>
                <w:color w:val="161413"/>
                <w:sz w:val="17"/>
              </w:rPr>
              <w:t>6</w:t>
            </w:r>
          </w:p>
        </w:tc>
        <w:tc>
          <w:tcPr>
            <w:tcW w:type="dxa" w:w="3408"/>
            <w:vAlign w:val="top"/>
            <w:tcBorders>
              <w:top w:val="single" w:sz="4" w:space="0" w:color="DED8CD"/>
              <w:left w:val="single" w:sz="4" w:space="0" w:color="DED8CD"/>
              <w:bottom w:val="single" w:sz="4" w:space="0" w:color="DED8CD"/>
              <w:right w:val="single" w:sz="4" w:space="0" w:color="DED8CD"/>
            </w:tcBorders>
            <w:shd w:fill="FBF8F2"/>
          </w:tcPr>
          <w:p>
            <w:pPr>
              <w:spacing w:after="0"/>
            </w:pPr>
            <w:r/>
            <w:r>
              <w:rPr>
                <w:rFonts w:ascii="Arial" w:hAnsi="Arial" w:eastAsia="Arial"/>
                <w:color w:val="161413"/>
                <w:sz w:val="17"/>
              </w:rPr>
              <w:t>Diligence &amp; Investment Thesis Project</w:t>
            </w:r>
          </w:p>
        </w:tc>
        <w:tc>
          <w:tcPr>
            <w:tcW w:type="dxa" w:w="3408"/>
            <w:vAlign w:val="top"/>
            <w:tcBorders>
              <w:top w:val="single" w:sz="4" w:space="0" w:color="DED8CD"/>
              <w:left w:val="single" w:sz="4" w:space="0" w:color="DED8CD"/>
              <w:bottom w:val="single" w:sz="4" w:space="0" w:color="DED8CD"/>
              <w:right w:val="single" w:sz="4" w:space="0" w:color="DED8CD"/>
            </w:tcBorders>
            <w:shd w:fill="FBF8F2"/>
          </w:tcPr>
          <w:p>
            <w:pPr>
              <w:spacing w:after="0"/>
            </w:pPr>
            <w:r/>
            <w:r>
              <w:rPr>
                <w:rFonts w:ascii="Arial" w:hAnsi="Arial" w:eastAsia="Arial"/>
                <w:color w:val="161413"/>
                <w:sz w:val="17"/>
              </w:rPr>
              <w:t>Evaluates a company from an operating and value creation lens.</w:t>
            </w:r>
          </w:p>
        </w:tc>
      </w:tr>
      <w:tr>
        <w:tc>
          <w:tcPr>
            <w:tcW w:type="dxa" w:w="3408"/>
            <w:vAlign w:val="top"/>
            <w:tcBorders>
              <w:top w:val="single" w:sz="4" w:space="0" w:color="DED8CD"/>
              <w:left w:val="single" w:sz="4" w:space="0" w:color="DED8CD"/>
              <w:bottom w:val="single" w:sz="4" w:space="0" w:color="DED8CD"/>
              <w:right w:val="single" w:sz="4" w:space="0" w:color="DED8CD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color w:val="161413"/>
                <w:sz w:val="17"/>
              </w:rPr>
              <w:t>7</w:t>
            </w:r>
          </w:p>
        </w:tc>
        <w:tc>
          <w:tcPr>
            <w:tcW w:type="dxa" w:w="3408"/>
            <w:vAlign w:val="top"/>
            <w:tcBorders>
              <w:top w:val="single" w:sz="4" w:space="0" w:color="DED8CD"/>
              <w:left w:val="single" w:sz="4" w:space="0" w:color="DED8CD"/>
              <w:bottom w:val="single" w:sz="4" w:space="0" w:color="DED8CD"/>
              <w:right w:val="single" w:sz="4" w:space="0" w:color="DED8CD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color w:val="161413"/>
                <w:sz w:val="17"/>
              </w:rPr>
              <w:t>Initiative Execution &amp; PMO Project</w:t>
            </w:r>
          </w:p>
        </w:tc>
        <w:tc>
          <w:tcPr>
            <w:tcW w:type="dxa" w:w="3408"/>
            <w:vAlign w:val="top"/>
            <w:tcBorders>
              <w:top w:val="single" w:sz="4" w:space="0" w:color="DED8CD"/>
              <w:left w:val="single" w:sz="4" w:space="0" w:color="DED8CD"/>
              <w:bottom w:val="single" w:sz="4" w:space="0" w:color="DED8CD"/>
              <w:right w:val="single" w:sz="4" w:space="0" w:color="DED8CD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color w:val="161413"/>
                <w:sz w:val="17"/>
              </w:rPr>
              <w:t>Manages value creation initiatives after they are launched.</w:t>
            </w:r>
          </w:p>
        </w:tc>
      </w:tr>
      <w:tr>
        <w:tc>
          <w:tcPr>
            <w:tcW w:type="dxa" w:w="3408"/>
            <w:vAlign w:val="top"/>
            <w:tcBorders>
              <w:top w:val="single" w:sz="4" w:space="0" w:color="DED8CD"/>
              <w:left w:val="single" w:sz="4" w:space="0" w:color="DED8CD"/>
              <w:bottom w:val="single" w:sz="4" w:space="0" w:color="DED8CD"/>
              <w:right w:val="single" w:sz="4" w:space="0" w:color="DED8CD"/>
            </w:tcBorders>
            <w:shd w:fill="FBF8F2"/>
          </w:tcPr>
          <w:p>
            <w:pPr>
              <w:spacing w:after="0"/>
            </w:pPr>
            <w:r/>
            <w:r>
              <w:rPr>
                <w:rFonts w:ascii="Arial" w:hAnsi="Arial" w:eastAsia="Arial"/>
                <w:color w:val="161413"/>
                <w:sz w:val="17"/>
              </w:rPr>
              <w:t>8</w:t>
            </w:r>
          </w:p>
        </w:tc>
        <w:tc>
          <w:tcPr>
            <w:tcW w:type="dxa" w:w="3408"/>
            <w:vAlign w:val="top"/>
            <w:tcBorders>
              <w:top w:val="single" w:sz="4" w:space="0" w:color="DED8CD"/>
              <w:left w:val="single" w:sz="4" w:space="0" w:color="DED8CD"/>
              <w:bottom w:val="single" w:sz="4" w:space="0" w:color="DED8CD"/>
              <w:right w:val="single" w:sz="4" w:space="0" w:color="DED8CD"/>
            </w:tcBorders>
            <w:shd w:fill="FBF8F2"/>
          </w:tcPr>
          <w:p>
            <w:pPr>
              <w:spacing w:after="0"/>
            </w:pPr>
            <w:r/>
            <w:r>
              <w:rPr>
                <w:rFonts w:ascii="Arial" w:hAnsi="Arial" w:eastAsia="Arial"/>
                <w:color w:val="161413"/>
                <w:sz w:val="17"/>
              </w:rPr>
              <w:t>Portco Research &amp; Market Intelligence Project</w:t>
            </w:r>
          </w:p>
        </w:tc>
        <w:tc>
          <w:tcPr>
            <w:tcW w:type="dxa" w:w="3408"/>
            <w:vAlign w:val="top"/>
            <w:tcBorders>
              <w:top w:val="single" w:sz="4" w:space="0" w:color="DED8CD"/>
              <w:left w:val="single" w:sz="4" w:space="0" w:color="DED8CD"/>
              <w:bottom w:val="single" w:sz="4" w:space="0" w:color="DED8CD"/>
              <w:right w:val="single" w:sz="4" w:space="0" w:color="DED8CD"/>
            </w:tcBorders>
            <w:shd w:fill="FBF8F2"/>
          </w:tcPr>
          <w:p>
            <w:pPr>
              <w:spacing w:after="0"/>
            </w:pPr>
            <w:r/>
            <w:r>
              <w:rPr>
                <w:rFonts w:ascii="Arial" w:hAnsi="Arial" w:eastAsia="Arial"/>
                <w:color w:val="161413"/>
                <w:sz w:val="17"/>
              </w:rPr>
              <w:t>Structures recurring research on industries, competitors, customers, vendors, and market trends.</w:t>
            </w:r>
          </w:p>
        </w:tc>
      </w:tr>
      <w:tr>
        <w:tc>
          <w:tcPr>
            <w:tcW w:type="dxa" w:w="3408"/>
            <w:vAlign w:val="top"/>
            <w:tcBorders>
              <w:top w:val="single" w:sz="4" w:space="0" w:color="DED8CD"/>
              <w:left w:val="single" w:sz="4" w:space="0" w:color="DED8CD"/>
              <w:bottom w:val="single" w:sz="4" w:space="0" w:color="DED8CD"/>
              <w:right w:val="single" w:sz="4" w:space="0" w:color="DED8CD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color w:val="161413"/>
                <w:sz w:val="17"/>
              </w:rPr>
              <w:t>9</w:t>
            </w:r>
          </w:p>
        </w:tc>
        <w:tc>
          <w:tcPr>
            <w:tcW w:type="dxa" w:w="3408"/>
            <w:vAlign w:val="top"/>
            <w:tcBorders>
              <w:top w:val="single" w:sz="4" w:space="0" w:color="DED8CD"/>
              <w:left w:val="single" w:sz="4" w:space="0" w:color="DED8CD"/>
              <w:bottom w:val="single" w:sz="4" w:space="0" w:color="DED8CD"/>
              <w:right w:val="single" w:sz="4" w:space="0" w:color="DED8CD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color w:val="161413"/>
                <w:sz w:val="17"/>
              </w:rPr>
              <w:t>Analyst Work Product Improver</w:t>
            </w:r>
          </w:p>
        </w:tc>
        <w:tc>
          <w:tcPr>
            <w:tcW w:type="dxa" w:w="3408"/>
            <w:vAlign w:val="top"/>
            <w:tcBorders>
              <w:top w:val="single" w:sz="4" w:space="0" w:color="DED8CD"/>
              <w:left w:val="single" w:sz="4" w:space="0" w:color="DED8CD"/>
              <w:bottom w:val="single" w:sz="4" w:space="0" w:color="DED8CD"/>
              <w:right w:val="single" w:sz="4" w:space="0" w:color="DED8CD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Arial"/>
                <w:color w:val="161413"/>
                <w:sz w:val="17"/>
              </w:rPr>
              <w:t>Improves rough notes, bullets, drafts, and analysis into polished consulting-grade output.</w:t>
            </w:r>
          </w:p>
        </w:tc>
      </w:tr>
    </w:tbl>
    <w:p>
      <w:pPr>
        <w:spacing w:after="40"/>
      </w:pPr>
    </w:p>
    <w:p>
      <w:pPr>
        <w:pStyle w:val="Heading2"/>
        <w:spacing w:before="160"/>
      </w:pPr>
      <w:r>
        <w:t>Packaging Recommendation</w:t>
      </w:r>
    </w:p>
    <w:p>
      <w:pPr>
        <w:spacing w:after="80"/>
      </w:pPr>
      <w:r>
        <w:rPr>
          <w:rFonts w:ascii="Arial" w:hAnsi="Arial" w:eastAsia="Arial"/>
          <w:color w:val="161413"/>
          <w:sz w:val="19"/>
        </w:rPr>
        <w:t>Sell each project kit individually, but also bundle them as:</w:t>
      </w:r>
    </w:p>
    <w:p>
      <w:pPr>
        <w:pStyle w:val="Heading3"/>
        <w:spacing w:before="120"/>
      </w:pPr>
      <w:r>
        <w:t>Daily Operator AI Bundle</w:t>
      </w:r>
    </w:p>
    <w:p>
      <w:pPr>
        <w:pStyle w:val="ListBullet"/>
        <w:spacing w:after="80"/>
      </w:pPr>
      <w:r>
        <w:rPr>
          <w:rFonts w:ascii="Arial" w:hAnsi="Arial" w:eastAsia="Arial"/>
          <w:color w:val="161413"/>
          <w:sz w:val="19"/>
        </w:rPr>
        <w:t>Operating Partner Copilot</w:t>
      </w:r>
    </w:p>
    <w:p>
      <w:pPr>
        <w:pStyle w:val="ListBullet"/>
        <w:spacing w:after="80"/>
      </w:pPr>
      <w:r>
        <w:rPr>
          <w:rFonts w:ascii="Arial" w:hAnsi="Arial" w:eastAsia="Arial"/>
          <w:color w:val="161413"/>
          <w:sz w:val="19"/>
        </w:rPr>
        <w:t>Board Pack &amp; Executive Update Builder</w:t>
      </w:r>
    </w:p>
    <w:p>
      <w:pPr>
        <w:pStyle w:val="ListBullet"/>
        <w:spacing w:after="80"/>
      </w:pPr>
      <w:r>
        <w:rPr>
          <w:rFonts w:ascii="Arial" w:hAnsi="Arial" w:eastAsia="Arial"/>
          <w:color w:val="161413"/>
          <w:sz w:val="19"/>
        </w:rPr>
        <w:t>Management Meeting Prep Project</w:t>
      </w:r>
    </w:p>
    <w:p>
      <w:pPr>
        <w:pStyle w:val="ListBullet"/>
        <w:spacing w:after="80"/>
      </w:pPr>
      <w:r>
        <w:rPr>
          <w:rFonts w:ascii="Arial" w:hAnsi="Arial" w:eastAsia="Arial"/>
          <w:color w:val="161413"/>
          <w:sz w:val="19"/>
        </w:rPr>
        <w:t>KPI Diagnostic &amp; Root Cause Project</w:t>
      </w:r>
    </w:p>
    <w:p>
      <w:pPr>
        <w:pStyle w:val="Heading3"/>
        <w:spacing w:before="120"/>
      </w:pPr>
      <w:r>
        <w:t>Analyst Acceleration Bundle</w:t>
      </w:r>
    </w:p>
    <w:p>
      <w:pPr>
        <w:pStyle w:val="ListBullet"/>
        <w:spacing w:after="80"/>
      </w:pPr>
      <w:r>
        <w:rPr>
          <w:rFonts w:ascii="Arial" w:hAnsi="Arial" w:eastAsia="Arial"/>
          <w:color w:val="161413"/>
          <w:sz w:val="19"/>
        </w:rPr>
        <w:t>Analyst Work Product Improver</w:t>
      </w:r>
    </w:p>
    <w:p>
      <w:pPr>
        <w:pStyle w:val="ListBullet"/>
        <w:spacing w:after="80"/>
      </w:pPr>
      <w:r>
        <w:rPr>
          <w:rFonts w:ascii="Arial" w:hAnsi="Arial" w:eastAsia="Arial"/>
          <w:color w:val="161413"/>
          <w:sz w:val="19"/>
        </w:rPr>
        <w:t>Board Pack &amp; Executive Update Builder</w:t>
      </w:r>
    </w:p>
    <w:p>
      <w:pPr>
        <w:pStyle w:val="ListBullet"/>
        <w:spacing w:after="80"/>
      </w:pPr>
      <w:r>
        <w:rPr>
          <w:rFonts w:ascii="Arial" w:hAnsi="Arial" w:eastAsia="Arial"/>
          <w:color w:val="161413"/>
          <w:sz w:val="19"/>
        </w:rPr>
        <w:t>Management Meeting Prep Project</w:t>
      </w:r>
    </w:p>
    <w:p>
      <w:pPr>
        <w:pStyle w:val="ListBullet"/>
        <w:spacing w:after="80"/>
      </w:pPr>
      <w:r>
        <w:rPr>
          <w:rFonts w:ascii="Arial" w:hAnsi="Arial" w:eastAsia="Arial"/>
          <w:color w:val="161413"/>
          <w:sz w:val="19"/>
        </w:rPr>
        <w:t>KPI Diagnostic &amp; Root Cause Project</w:t>
      </w:r>
    </w:p>
    <w:p>
      <w:pPr>
        <w:pStyle w:val="Heading3"/>
        <w:spacing w:before="120"/>
      </w:pPr>
      <w:r>
        <w:t>Diligence-to-Execution Bundle</w:t>
      </w:r>
    </w:p>
    <w:p>
      <w:pPr>
        <w:pStyle w:val="ListBullet"/>
        <w:spacing w:after="80"/>
      </w:pPr>
      <w:r>
        <w:rPr>
          <w:rFonts w:ascii="Arial" w:hAnsi="Arial" w:eastAsia="Arial"/>
          <w:color w:val="161413"/>
          <w:sz w:val="19"/>
        </w:rPr>
        <w:t>Diligence &amp; Investment Thesis Project</w:t>
      </w:r>
    </w:p>
    <w:p>
      <w:pPr>
        <w:pStyle w:val="ListBullet"/>
        <w:spacing w:after="80"/>
      </w:pPr>
      <w:r>
        <w:rPr>
          <w:rFonts w:ascii="Arial" w:hAnsi="Arial" w:eastAsia="Arial"/>
          <w:color w:val="161413"/>
          <w:sz w:val="19"/>
        </w:rPr>
        <w:t>Value Creation Plan Builder</w:t>
      </w:r>
    </w:p>
    <w:p>
      <w:pPr>
        <w:pStyle w:val="ListBullet"/>
        <w:spacing w:after="80"/>
      </w:pPr>
      <w:r>
        <w:rPr>
          <w:rFonts w:ascii="Arial" w:hAnsi="Arial" w:eastAsia="Arial"/>
          <w:color w:val="161413"/>
          <w:sz w:val="19"/>
        </w:rPr>
        <w:t>Initiative Execution &amp; PMO Project</w:t>
      </w:r>
    </w:p>
    <w:p>
      <w:pPr>
        <w:pStyle w:val="ListBullet"/>
        <w:spacing w:after="80"/>
      </w:pPr>
      <w:r>
        <w:rPr>
          <w:rFonts w:ascii="Arial" w:hAnsi="Arial" w:eastAsia="Arial"/>
          <w:color w:val="161413"/>
          <w:sz w:val="19"/>
        </w:rPr>
        <w:t>Operating Partner Copilot</w:t>
      </w:r>
    </w:p>
    <w:p>
      <w:pPr>
        <w:pStyle w:val="Heading3"/>
        <w:spacing w:before="120"/>
      </w:pPr>
      <w:r>
        <w:t>Full AI Project Library</w:t>
      </w:r>
    </w:p>
    <w:p>
      <w:pPr>
        <w:pStyle w:val="ListBullet"/>
        <w:spacing w:after="80"/>
      </w:pPr>
      <w:r>
        <w:rPr>
          <w:rFonts w:ascii="Arial" w:hAnsi="Arial" w:eastAsia="Arial"/>
          <w:color w:val="161413"/>
          <w:sz w:val="19"/>
        </w:rPr>
        <w:t>All nine project kits</w:t>
      </w:r>
    </w:p>
    <w:sectPr w:rsidR="00FC693F" w:rsidRPr="0006063C" w:rsidSect="00034616">
      <w:headerReference w:type="default" r:id="rId9"/>
      <w:pgSz w:w="12240" w:h="15840"/>
      <w:pgMar w:top="864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Georgia" w:hAnsi="Georgia" w:eastAsia="Georgia"/>
        <w:b w:val="0"/>
        <w:color w:val="161413"/>
        <w:sz w:val="36"/>
      </w:rPr>
      <w:t>Ops</w:t>
    </w:r>
    <w:r>
      <w:rPr>
        <w:rFonts w:ascii="Georgia" w:hAnsi="Georgia" w:eastAsia="Georgia"/>
        <w:b/>
        <w:i/>
        <w:color w:val="B8862F"/>
        <w:sz w:val="36"/>
      </w:rPr>
      <w:t>2</w:t>
    </w:r>
    <w:r>
      <w:rPr>
        <w:rFonts w:ascii="Georgia" w:hAnsi="Georgia" w:eastAsia="Georgia"/>
        <w:b w:val="0"/>
        <w:color w:val="161413"/>
        <w:sz w:val="36"/>
      </w:rPr>
      <w:t>EBITDA</w:t>
    </w:r>
    <w:r>
      <w:rPr>
        <w:rFonts w:ascii="Arial" w:hAnsi="Arial" w:eastAsia="Arial"/>
        <w:b/>
        <w:color w:val="928B7E"/>
        <w:sz w:val="16"/>
      </w:rPr>
      <w:t xml:space="preserve">    AI PROJECT KIT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color w:val="161413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eorgia" w:hAnsi="Georgia" w:eastAsia="Georgia"/>
      <w:b w:val="0"/>
      <w:bCs/>
      <w:color w:val="161413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eorgia" w:hAnsi="Georgia" w:eastAsia="Georgia"/>
      <w:b/>
      <w:bCs/>
      <w:color w:val="161413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eorgia" w:hAnsi="Georgia" w:eastAsia="Georgia"/>
      <w:b/>
      <w:bCs/>
      <w:color w:val="161413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Arial" w:hAnsi="Arial" w:eastAsia="Arial"/>
      <w:color w:val="161413"/>
      <w:sz w:val="19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