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B8862F"/>
          <w:sz w:val="16"/>
        </w:rPr>
        <w:t>AI PROJECT KIT</w:t>
      </w:r>
    </w:p>
    <w:p>
      <w:pPr>
        <w:pStyle w:val="Heading1"/>
        <w:spacing w:after="80"/>
      </w:pPr>
      <w:r>
        <w:t>Common Operating Context</w:t>
      </w:r>
    </w:p>
    <w:p>
      <w:pPr>
        <w:spacing w:after="240"/>
      </w:pPr>
      <w:r>
        <w:rPr>
          <w:rFonts w:ascii="Arial" w:hAnsi="Arial" w:eastAsia="Arial"/>
          <w:color w:val="928B7E"/>
          <w:sz w:val="21"/>
        </w:rPr>
        <w:t>Shared context for all Ops2EBITDA AI project kits.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B8862F"/>
          </w:tcPr>
          <w:p>
            <w:r/>
          </w:p>
        </w:tc>
      </w:tr>
    </w:tbl>
    <w:p>
      <w:pPr>
        <w:pStyle w:val="Heading1"/>
        <w:spacing w:before="200"/>
      </w:pPr>
      <w:r>
        <w:t>Common Context File — Ops2EBITDA Operating Logic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Use this as a general reference attachment across all Ops2EBITDA AI Project Kits.</w:t>
      </w:r>
    </w:p>
    <w:p>
      <w:pPr>
        <w:pStyle w:val="Heading2"/>
        <w:spacing w:before="160"/>
      </w:pPr>
      <w:r>
        <w:t>Core Operating Equation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Operations become EBITDA when a specific operating action changes a measurable driver that flows through to margin, cash flow, growth quality, risk reduction, or valuation.</w:t>
      </w:r>
    </w:p>
    <w:p>
      <w:pPr>
        <w:pStyle w:val="Heading2"/>
        <w:spacing w:before="160"/>
      </w:pPr>
      <w:r>
        <w:t>Preferred Reasoning Chain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Observation → Driver → Root cause hypothesis → Data needed → Operating action → KPI impact → EBITDA / cash / valuation logic → Risk / caveat</w:t>
      </w:r>
    </w:p>
    <w:p>
      <w:pPr>
        <w:pStyle w:val="Heading2"/>
        <w:spacing w:before="160"/>
      </w:pPr>
      <w:r>
        <w:t>Common PE Value Creation Levers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Pricing optimization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Procurement savings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Working capital improvement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Sales productivity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Customer retention / churn reduction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KPI dashboard buildout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Management operating cadence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Finance function transformation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Add-on acquisition integration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Org design / spans and layers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Exit readiness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AI opportunity identification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Data readiness for AI</w:t>
      </w:r>
    </w:p>
    <w:p>
      <w:pPr>
        <w:pStyle w:val="Heading2"/>
        <w:spacing w:before="160"/>
      </w:pPr>
      <w:r>
        <w:t>Output Rules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Good outputs are: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Specific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Actionable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Evidence-aware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KPI-linked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Owner-aware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Time-bound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Caveated where needed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Bad outputs are: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Generic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Theoretical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Jargon-heavy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Unclear on owner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Unclear on data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Unclear on business impact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Overconfident without evidence</w:t>
      </w:r>
    </w:p>
    <w:sectPr w:rsidR="00FC693F" w:rsidRPr="0006063C" w:rsidSect="00034616">
      <w:headerReference w:type="default" r:id="rId9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Georgia" w:hAnsi="Georgia" w:eastAsia="Georgia"/>
        <w:b w:val="0"/>
        <w:color w:val="161413"/>
        <w:sz w:val="36"/>
      </w:rPr>
      <w:t>Ops</w:t>
    </w:r>
    <w:r>
      <w:rPr>
        <w:rFonts w:ascii="Georgia" w:hAnsi="Georgia" w:eastAsia="Georgia"/>
        <w:b/>
        <w:i/>
        <w:color w:val="B8862F"/>
        <w:sz w:val="36"/>
      </w:rPr>
      <w:t>2</w:t>
    </w:r>
    <w:r>
      <w:rPr>
        <w:rFonts w:ascii="Georgia" w:hAnsi="Georgia" w:eastAsia="Georgia"/>
        <w:b w:val="0"/>
        <w:color w:val="161413"/>
        <w:sz w:val="36"/>
      </w:rPr>
      <w:t>EBITDA</w:t>
    </w:r>
    <w:r>
      <w:rPr>
        <w:rFonts w:ascii="Arial" w:hAnsi="Arial" w:eastAsia="Arial"/>
        <w:b/>
        <w:color w:val="928B7E"/>
        <w:sz w:val="16"/>
      </w:rPr>
      <w:t xml:space="preserve">    AI PROJECT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6141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 w:val="0"/>
      <w:bCs/>
      <w:color w:val="16141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16141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16141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color w:val="161413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