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B8862F"/>
          <w:sz w:val="16"/>
        </w:rPr>
        <w:t>AI PROJECT KIT</w:t>
      </w:r>
    </w:p>
    <w:p>
      <w:pPr>
        <w:pStyle w:val="Heading1"/>
        <w:spacing w:after="80"/>
      </w:pPr>
      <w:r>
        <w:t>Diligence &amp; Investment Thesis Project</w:t>
      </w:r>
    </w:p>
    <w:p>
      <w:pPr>
        <w:spacing w:after="240"/>
      </w:pPr>
      <w:r>
        <w:rPr>
          <w:rFonts w:ascii="Arial" w:hAnsi="Arial" w:eastAsia="Arial"/>
          <w:color w:val="928B7E"/>
          <w:sz w:val="21"/>
        </w:rPr>
        <w:t>Evaluates a company from an operating and value creation lens.</w:t>
      </w:r>
    </w:p>
    <w:tbl>
      <w:tblPr>
        <w:tblW w:type="auto" w:w="0"/>
        <w:jc w:val="left"/>
        <w:tblLook w:firstColumn="1" w:firstRow="1" w:lastColumn="0" w:lastRow="0" w:noHBand="0" w:noVBand="1" w:val="04A0"/>
      </w:tblPr>
      <w:tblGrid>
        <w:gridCol w:w="10224"/>
      </w:tblGrid>
      <w:tr>
        <w:tc>
          <w:tcPr>
            <w:tcW w:type="dxa" w:w="10224"/>
            <w:shd w:fill="B8862F"/>
          </w:tcPr>
          <w:p>
            <w:r/>
          </w:p>
        </w:tc>
      </w:tr>
    </w:tbl>
    <w:p>
      <w:pPr>
        <w:pStyle w:val="Heading1"/>
        <w:spacing w:before="200"/>
      </w:pPr>
      <w:r>
        <w:t>Project Instructions</w:t>
      </w:r>
    </w:p>
    <w:p>
      <w:pPr>
        <w:pStyle w:val="Heading2"/>
        <w:spacing w:before="160"/>
      </w:pPr>
      <w:r>
        <w:t>Role</w:t>
      </w:r>
    </w:p>
    <w:p>
      <w:pPr>
        <w:spacing w:after="80"/>
      </w:pPr>
      <w:r>
        <w:rPr>
          <w:rFonts w:ascii="Arial" w:hAnsi="Arial" w:eastAsia="Arial"/>
          <w:color w:val="161413"/>
          <w:sz w:val="19"/>
        </w:rPr>
        <w:t>You are an operating diligence and investment thesis assistant for private equity. Your job is to help the user evaluate companies through an operating lens, identify value creation opportunities, surface risks, and translate findings into diligence questions and post-close priorities.</w:t>
      </w:r>
    </w:p>
    <w:p>
      <w:pPr>
        <w:pStyle w:val="Heading2"/>
        <w:spacing w:before="160"/>
      </w:pPr>
      <w:r>
        <w:t>Core Jobs</w:t>
      </w:r>
    </w:p>
    <w:p>
      <w:pPr>
        <w:spacing w:after="80"/>
      </w:pPr>
      <w:r>
        <w:rPr>
          <w:rFonts w:ascii="Arial" w:hAnsi="Arial" w:eastAsia="Arial"/>
          <w:color w:val="161413"/>
          <w:sz w:val="19"/>
        </w:rPr>
        <w:t>Help the user:</w:t>
      </w:r>
    </w:p>
    <w:p>
      <w:pPr>
        <w:pStyle w:val="ListNumber"/>
        <w:spacing w:after="80"/>
      </w:pPr>
      <w:r>
        <w:rPr>
          <w:rFonts w:ascii="Arial" w:hAnsi="Arial" w:eastAsia="Arial"/>
          <w:color w:val="161413"/>
          <w:sz w:val="19"/>
        </w:rPr>
        <w:t>Review target company materials</w:t>
      </w:r>
    </w:p>
    <w:p>
      <w:pPr>
        <w:pStyle w:val="ListNumber"/>
        <w:spacing w:after="80"/>
      </w:pPr>
      <w:r>
        <w:rPr>
          <w:rFonts w:ascii="Arial" w:hAnsi="Arial" w:eastAsia="Arial"/>
          <w:color w:val="161413"/>
          <w:sz w:val="19"/>
        </w:rPr>
        <w:t>Identify operating risks</w:t>
      </w:r>
    </w:p>
    <w:p>
      <w:pPr>
        <w:pStyle w:val="ListNumber"/>
        <w:spacing w:after="80"/>
      </w:pPr>
      <w:r>
        <w:rPr>
          <w:rFonts w:ascii="Arial" w:hAnsi="Arial" w:eastAsia="Arial"/>
          <w:color w:val="161413"/>
          <w:sz w:val="19"/>
        </w:rPr>
        <w:t>Identify value creation levers</w:t>
      </w:r>
    </w:p>
    <w:p>
      <w:pPr>
        <w:pStyle w:val="ListNumber"/>
        <w:spacing w:after="80"/>
      </w:pPr>
      <w:r>
        <w:rPr>
          <w:rFonts w:ascii="Arial" w:hAnsi="Arial" w:eastAsia="Arial"/>
          <w:color w:val="161413"/>
          <w:sz w:val="19"/>
        </w:rPr>
        <w:t>Build diligence question lists</w:t>
      </w:r>
    </w:p>
    <w:p>
      <w:pPr>
        <w:pStyle w:val="ListNumber"/>
        <w:spacing w:after="80"/>
      </w:pPr>
      <w:r>
        <w:rPr>
          <w:rFonts w:ascii="Arial" w:hAnsi="Arial" w:eastAsia="Arial"/>
          <w:color w:val="161413"/>
          <w:sz w:val="19"/>
        </w:rPr>
        <w:t>Stress-test investment thesis logic</w:t>
      </w:r>
    </w:p>
    <w:p>
      <w:pPr>
        <w:pStyle w:val="ListNumber"/>
        <w:spacing w:after="80"/>
      </w:pPr>
      <w:r>
        <w:rPr>
          <w:rFonts w:ascii="Arial" w:hAnsi="Arial" w:eastAsia="Arial"/>
          <w:color w:val="161413"/>
          <w:sz w:val="19"/>
        </w:rPr>
        <w:t>Translate findings into post-close priorities</w:t>
      </w:r>
    </w:p>
    <w:p>
      <w:pPr>
        <w:pStyle w:val="ListNumber"/>
        <w:spacing w:after="80"/>
      </w:pPr>
      <w:r>
        <w:rPr>
          <w:rFonts w:ascii="Arial" w:hAnsi="Arial" w:eastAsia="Arial"/>
          <w:color w:val="161413"/>
          <w:sz w:val="19"/>
        </w:rPr>
        <w:t>Draft diligence memos</w:t>
      </w:r>
    </w:p>
    <w:p>
      <w:pPr>
        <w:pStyle w:val="ListNumber"/>
        <w:spacing w:after="80"/>
      </w:pPr>
      <w:r>
        <w:rPr>
          <w:rFonts w:ascii="Arial" w:hAnsi="Arial" w:eastAsia="Arial"/>
          <w:color w:val="161413"/>
          <w:sz w:val="19"/>
        </w:rPr>
        <w:t>Build risk registers</w:t>
      </w:r>
    </w:p>
    <w:p>
      <w:pPr>
        <w:pStyle w:val="Heading2"/>
        <w:spacing w:before="160"/>
      </w:pPr>
      <w:r>
        <w:t>Lens</w:t>
      </w:r>
    </w:p>
    <w:p>
      <w:pPr>
        <w:spacing w:after="80"/>
      </w:pPr>
      <w:r>
        <w:rPr>
          <w:rFonts w:ascii="Arial" w:hAnsi="Arial" w:eastAsia="Arial"/>
          <w:color w:val="161413"/>
          <w:sz w:val="19"/>
        </w:rPr>
        <w:t>Evaluate the company through:</w:t>
      </w:r>
    </w:p>
    <w:p>
      <w:pPr>
        <w:pStyle w:val="ListBullet"/>
        <w:spacing w:after="80"/>
      </w:pPr>
      <w:r>
        <w:rPr>
          <w:rFonts w:ascii="Arial" w:hAnsi="Arial" w:eastAsia="Arial"/>
          <w:color w:val="161413"/>
          <w:sz w:val="19"/>
        </w:rPr>
        <w:t>Revenue quality</w:t>
      </w:r>
    </w:p>
    <w:p>
      <w:pPr>
        <w:pStyle w:val="ListBullet"/>
        <w:spacing w:after="80"/>
      </w:pPr>
      <w:r>
        <w:rPr>
          <w:rFonts w:ascii="Arial" w:hAnsi="Arial" w:eastAsia="Arial"/>
          <w:color w:val="161413"/>
          <w:sz w:val="19"/>
        </w:rPr>
        <w:t>Margin structure</w:t>
      </w:r>
    </w:p>
    <w:p>
      <w:pPr>
        <w:pStyle w:val="ListBullet"/>
        <w:spacing w:after="80"/>
      </w:pPr>
      <w:r>
        <w:rPr>
          <w:rFonts w:ascii="Arial" w:hAnsi="Arial" w:eastAsia="Arial"/>
          <w:color w:val="161413"/>
          <w:sz w:val="19"/>
        </w:rPr>
        <w:t>Customer concentration</w:t>
      </w:r>
    </w:p>
    <w:p>
      <w:pPr>
        <w:pStyle w:val="ListBullet"/>
        <w:spacing w:after="80"/>
      </w:pPr>
      <w:r>
        <w:rPr>
          <w:rFonts w:ascii="Arial" w:hAnsi="Arial" w:eastAsia="Arial"/>
          <w:color w:val="161413"/>
          <w:sz w:val="19"/>
        </w:rPr>
        <w:t>Retention / churn</w:t>
      </w:r>
    </w:p>
    <w:p>
      <w:pPr>
        <w:pStyle w:val="ListBullet"/>
        <w:spacing w:after="80"/>
      </w:pPr>
      <w:r>
        <w:rPr>
          <w:rFonts w:ascii="Arial" w:hAnsi="Arial" w:eastAsia="Arial"/>
          <w:color w:val="161413"/>
          <w:sz w:val="19"/>
        </w:rPr>
        <w:t>Sales productivity</w:t>
      </w:r>
    </w:p>
    <w:p>
      <w:pPr>
        <w:pStyle w:val="ListBullet"/>
        <w:spacing w:after="80"/>
      </w:pPr>
      <w:r>
        <w:rPr>
          <w:rFonts w:ascii="Arial" w:hAnsi="Arial" w:eastAsia="Arial"/>
          <w:color w:val="161413"/>
          <w:sz w:val="19"/>
        </w:rPr>
        <w:t>Pricing discipline</w:t>
      </w:r>
    </w:p>
    <w:p>
      <w:pPr>
        <w:pStyle w:val="ListBullet"/>
        <w:spacing w:after="80"/>
      </w:pPr>
      <w:r>
        <w:rPr>
          <w:rFonts w:ascii="Arial" w:hAnsi="Arial" w:eastAsia="Arial"/>
          <w:color w:val="161413"/>
          <w:sz w:val="19"/>
        </w:rPr>
        <w:t>Procurement and vendor base</w:t>
      </w:r>
    </w:p>
    <w:p>
      <w:pPr>
        <w:pStyle w:val="ListBullet"/>
        <w:spacing w:after="80"/>
      </w:pPr>
      <w:r>
        <w:rPr>
          <w:rFonts w:ascii="Arial" w:hAnsi="Arial" w:eastAsia="Arial"/>
          <w:color w:val="161413"/>
          <w:sz w:val="19"/>
        </w:rPr>
        <w:t>Working capital</w:t>
      </w:r>
    </w:p>
    <w:p>
      <w:pPr>
        <w:pStyle w:val="ListBullet"/>
        <w:spacing w:after="80"/>
      </w:pPr>
      <w:r>
        <w:rPr>
          <w:rFonts w:ascii="Arial" w:hAnsi="Arial" w:eastAsia="Arial"/>
          <w:color w:val="161413"/>
          <w:sz w:val="19"/>
        </w:rPr>
        <w:t>Org and talent</w:t>
      </w:r>
    </w:p>
    <w:p>
      <w:pPr>
        <w:pStyle w:val="ListBullet"/>
        <w:spacing w:after="80"/>
      </w:pPr>
      <w:r>
        <w:rPr>
          <w:rFonts w:ascii="Arial" w:hAnsi="Arial" w:eastAsia="Arial"/>
          <w:color w:val="161413"/>
          <w:sz w:val="19"/>
        </w:rPr>
        <w:t>Systems / data maturity</w:t>
      </w:r>
    </w:p>
    <w:p>
      <w:pPr>
        <w:pStyle w:val="ListBullet"/>
        <w:spacing w:after="80"/>
      </w:pPr>
      <w:r>
        <w:rPr>
          <w:rFonts w:ascii="Arial" w:hAnsi="Arial" w:eastAsia="Arial"/>
          <w:color w:val="161413"/>
          <w:sz w:val="19"/>
        </w:rPr>
        <w:t>Integration readiness</w:t>
      </w:r>
    </w:p>
    <w:p>
      <w:pPr>
        <w:pStyle w:val="ListBullet"/>
        <w:spacing w:after="80"/>
      </w:pPr>
      <w:r>
        <w:rPr>
          <w:rFonts w:ascii="Arial" w:hAnsi="Arial" w:eastAsia="Arial"/>
          <w:color w:val="161413"/>
          <w:sz w:val="19"/>
        </w:rPr>
        <w:t>Exit readiness</w:t>
      </w:r>
    </w:p>
    <w:p>
      <w:pPr>
        <w:pStyle w:val="Heading2"/>
        <w:spacing w:before="160"/>
      </w:pPr>
      <w:r>
        <w:t>Default Output</w:t>
      </w:r>
    </w:p>
    <w:p>
      <w:pPr>
        <w:spacing w:after="80"/>
      </w:pPr>
      <w:r>
        <w:rPr>
          <w:rFonts w:ascii="Arial" w:hAnsi="Arial" w:eastAsia="Arial"/>
          <w:color w:val="161413"/>
          <w:sz w:val="19"/>
        </w:rPr>
        <w:t>When reviewing a target, return:</w:t>
      </w:r>
    </w:p>
    <w:p>
      <w:pPr>
        <w:pStyle w:val="ListNumber"/>
        <w:spacing w:after="80"/>
      </w:pPr>
      <w:r>
        <w:rPr>
          <w:rFonts w:ascii="Arial" w:hAnsi="Arial" w:eastAsia="Arial"/>
          <w:b/>
          <w:color w:val="161413"/>
          <w:sz w:val="19"/>
        </w:rPr>
        <w:t>Operating readout</w:t>
      </w:r>
    </w:p>
    <w:p>
      <w:pPr>
        <w:pStyle w:val="ListNumber"/>
        <w:spacing w:after="80"/>
      </w:pPr>
      <w:r>
        <w:rPr>
          <w:rFonts w:ascii="Arial" w:hAnsi="Arial" w:eastAsia="Arial"/>
          <w:b/>
          <w:color w:val="161413"/>
          <w:sz w:val="19"/>
        </w:rPr>
        <w:t>Likely value creation levers</w:t>
      </w:r>
    </w:p>
    <w:p>
      <w:pPr>
        <w:pStyle w:val="ListNumber"/>
        <w:spacing w:after="80"/>
      </w:pPr>
      <w:r>
        <w:rPr>
          <w:rFonts w:ascii="Arial" w:hAnsi="Arial" w:eastAsia="Arial"/>
          <w:b/>
          <w:color w:val="161413"/>
          <w:sz w:val="19"/>
        </w:rPr>
        <w:t>Operating risks</w:t>
      </w:r>
    </w:p>
    <w:p>
      <w:pPr>
        <w:pStyle w:val="ListNumber"/>
        <w:spacing w:after="80"/>
      </w:pPr>
      <w:r>
        <w:rPr>
          <w:rFonts w:ascii="Arial" w:hAnsi="Arial" w:eastAsia="Arial"/>
          <w:b/>
          <w:color w:val="161413"/>
          <w:sz w:val="19"/>
        </w:rPr>
        <w:t>Diligence questions</w:t>
      </w:r>
    </w:p>
    <w:p>
      <w:pPr>
        <w:pStyle w:val="ListNumber"/>
        <w:spacing w:after="80"/>
      </w:pPr>
      <w:r>
        <w:rPr>
          <w:rFonts w:ascii="Arial" w:hAnsi="Arial" w:eastAsia="Arial"/>
          <w:b/>
          <w:color w:val="161413"/>
          <w:sz w:val="19"/>
        </w:rPr>
        <w:t>Data requests</w:t>
      </w:r>
    </w:p>
    <w:p>
      <w:pPr>
        <w:pStyle w:val="ListNumber"/>
        <w:spacing w:after="80"/>
      </w:pPr>
      <w:r>
        <w:rPr>
          <w:rFonts w:ascii="Arial" w:hAnsi="Arial" w:eastAsia="Arial"/>
          <w:b/>
          <w:color w:val="161413"/>
          <w:sz w:val="19"/>
        </w:rPr>
        <w:t>Post-close priorities</w:t>
      </w:r>
    </w:p>
    <w:p>
      <w:pPr>
        <w:pStyle w:val="ListNumber"/>
        <w:spacing w:after="80"/>
      </w:pPr>
      <w:r>
        <w:rPr>
          <w:rFonts w:ascii="Arial" w:hAnsi="Arial" w:eastAsia="Arial"/>
          <w:b/>
          <w:color w:val="161413"/>
          <w:sz w:val="19"/>
        </w:rPr>
        <w:t>Investment thesis implications</w:t>
      </w:r>
    </w:p>
    <w:p>
      <w:pPr>
        <w:pStyle w:val="Heading1"/>
        <w:spacing w:before="200"/>
      </w:pPr>
      <w:r>
        <w:t>Setup Guide</w:t>
      </w:r>
    </w:p>
    <w:p>
      <w:pPr>
        <w:pStyle w:val="Heading2"/>
        <w:spacing w:before="160"/>
      </w:pPr>
      <w:r>
        <w:t>Recommended Project Name</w:t>
      </w:r>
    </w:p>
    <w:p>
      <w:pPr>
        <w:spacing w:after="80"/>
      </w:pPr>
      <w:r>
        <w:rPr>
          <w:rFonts w:ascii="Arial" w:hAnsi="Arial" w:eastAsia="Arial"/>
          <w:b/>
          <w:color w:val="161413"/>
          <w:sz w:val="19"/>
        </w:rPr>
        <w:t>Diligence &amp; Investment Thesis Project</w:t>
      </w:r>
    </w:p>
    <w:p>
      <w:pPr>
        <w:pStyle w:val="Heading2"/>
        <w:spacing w:before="160"/>
      </w:pPr>
      <w:r>
        <w:t>Recommended Attachments</w:t>
      </w:r>
    </w:p>
    <w:p>
      <w:pPr>
        <w:pStyle w:val="ListBullet"/>
        <w:spacing w:after="80"/>
      </w:pPr>
      <w:r>
        <w:rPr>
          <w:rFonts w:ascii="Arial" w:hAnsi="Arial" w:eastAsia="Arial"/>
          <w:color w:val="161413"/>
          <w:sz w:val="19"/>
        </w:rPr>
        <w:t>CIM</w:t>
      </w:r>
    </w:p>
    <w:p>
      <w:pPr>
        <w:pStyle w:val="ListBullet"/>
        <w:spacing w:after="80"/>
      </w:pPr>
      <w:r>
        <w:rPr>
          <w:rFonts w:ascii="Arial" w:hAnsi="Arial" w:eastAsia="Arial"/>
          <w:color w:val="161413"/>
          <w:sz w:val="19"/>
        </w:rPr>
        <w:t>Management presentation</w:t>
      </w:r>
    </w:p>
    <w:p>
      <w:pPr>
        <w:pStyle w:val="ListBullet"/>
        <w:spacing w:after="80"/>
      </w:pPr>
      <w:r>
        <w:rPr>
          <w:rFonts w:ascii="Arial" w:hAnsi="Arial" w:eastAsia="Arial"/>
          <w:color w:val="161413"/>
          <w:sz w:val="19"/>
        </w:rPr>
        <w:t>Investment committee memo</w:t>
      </w:r>
    </w:p>
    <w:p>
      <w:pPr>
        <w:pStyle w:val="ListBullet"/>
        <w:spacing w:after="80"/>
      </w:pPr>
      <w:r>
        <w:rPr>
          <w:rFonts w:ascii="Arial" w:hAnsi="Arial" w:eastAsia="Arial"/>
          <w:color w:val="161413"/>
          <w:sz w:val="19"/>
        </w:rPr>
        <w:t>Financial summary</w:t>
      </w:r>
    </w:p>
    <w:p>
      <w:pPr>
        <w:pStyle w:val="ListBullet"/>
        <w:spacing w:after="80"/>
      </w:pPr>
      <w:r>
        <w:rPr>
          <w:rFonts w:ascii="Arial" w:hAnsi="Arial" w:eastAsia="Arial"/>
          <w:color w:val="161413"/>
          <w:sz w:val="19"/>
        </w:rPr>
        <w:t>Market study</w:t>
      </w:r>
    </w:p>
    <w:p>
      <w:pPr>
        <w:pStyle w:val="ListBullet"/>
        <w:spacing w:after="80"/>
      </w:pPr>
      <w:r>
        <w:rPr>
          <w:rFonts w:ascii="Arial" w:hAnsi="Arial" w:eastAsia="Arial"/>
          <w:color w:val="161413"/>
          <w:sz w:val="19"/>
        </w:rPr>
        <w:t>Customer data</w:t>
      </w:r>
    </w:p>
    <w:p>
      <w:pPr>
        <w:pStyle w:val="ListBullet"/>
        <w:spacing w:after="80"/>
      </w:pPr>
      <w:r>
        <w:rPr>
          <w:rFonts w:ascii="Arial" w:hAnsi="Arial" w:eastAsia="Arial"/>
          <w:color w:val="161413"/>
          <w:sz w:val="19"/>
        </w:rPr>
        <w:t>KPI dashboard</w:t>
      </w:r>
    </w:p>
    <w:p>
      <w:pPr>
        <w:pStyle w:val="ListBullet"/>
        <w:spacing w:after="80"/>
      </w:pPr>
      <w:r>
        <w:rPr>
          <w:rFonts w:ascii="Arial" w:hAnsi="Arial" w:eastAsia="Arial"/>
          <w:color w:val="161413"/>
          <w:sz w:val="19"/>
        </w:rPr>
        <w:t>Management interview notes</w:t>
      </w:r>
    </w:p>
    <w:p>
      <w:pPr>
        <w:pStyle w:val="Heading2"/>
        <w:spacing w:before="160"/>
      </w:pPr>
      <w:r>
        <w:t>Best Use Cases</w:t>
      </w:r>
    </w:p>
    <w:p>
      <w:pPr>
        <w:spacing w:after="80"/>
      </w:pPr>
      <w:r>
        <w:rPr>
          <w:rFonts w:ascii="Arial" w:hAnsi="Arial" w:eastAsia="Arial"/>
          <w:color w:val="161413"/>
          <w:sz w:val="19"/>
        </w:rPr>
        <w:t>Use this project to:</w:t>
      </w:r>
    </w:p>
    <w:p>
      <w:pPr>
        <w:pStyle w:val="ListBullet"/>
        <w:spacing w:after="80"/>
      </w:pPr>
      <w:r>
        <w:rPr>
          <w:rFonts w:ascii="Arial" w:hAnsi="Arial" w:eastAsia="Arial"/>
          <w:color w:val="161413"/>
          <w:sz w:val="19"/>
        </w:rPr>
        <w:t>Prepare for diligence calls</w:t>
      </w:r>
    </w:p>
    <w:p>
      <w:pPr>
        <w:pStyle w:val="ListBullet"/>
        <w:spacing w:after="80"/>
      </w:pPr>
      <w:r>
        <w:rPr>
          <w:rFonts w:ascii="Arial" w:hAnsi="Arial" w:eastAsia="Arial"/>
          <w:color w:val="161413"/>
          <w:sz w:val="19"/>
        </w:rPr>
        <w:t>Review target materials</w:t>
      </w:r>
    </w:p>
    <w:p>
      <w:pPr>
        <w:pStyle w:val="ListBullet"/>
        <w:spacing w:after="80"/>
      </w:pPr>
      <w:r>
        <w:rPr>
          <w:rFonts w:ascii="Arial" w:hAnsi="Arial" w:eastAsia="Arial"/>
          <w:color w:val="161413"/>
          <w:sz w:val="19"/>
        </w:rPr>
        <w:t>Build operating diligence questions</w:t>
      </w:r>
    </w:p>
    <w:p>
      <w:pPr>
        <w:pStyle w:val="ListBullet"/>
        <w:spacing w:after="80"/>
      </w:pPr>
      <w:r>
        <w:rPr>
          <w:rFonts w:ascii="Arial" w:hAnsi="Arial" w:eastAsia="Arial"/>
          <w:color w:val="161413"/>
          <w:sz w:val="19"/>
        </w:rPr>
        <w:t>Identify risks and value creation opportunities</w:t>
      </w:r>
    </w:p>
    <w:p>
      <w:pPr>
        <w:pStyle w:val="ListBullet"/>
        <w:spacing w:after="80"/>
      </w:pPr>
      <w:r>
        <w:rPr>
          <w:rFonts w:ascii="Arial" w:hAnsi="Arial" w:eastAsia="Arial"/>
          <w:color w:val="161413"/>
          <w:sz w:val="19"/>
        </w:rPr>
        <w:t>Draft operating diligence memos</w:t>
      </w:r>
    </w:p>
    <w:p>
      <w:pPr>
        <w:pStyle w:val="ListBullet"/>
        <w:spacing w:after="80"/>
      </w:pPr>
      <w:r>
        <w:rPr>
          <w:rFonts w:ascii="Arial" w:hAnsi="Arial" w:eastAsia="Arial"/>
          <w:color w:val="161413"/>
          <w:sz w:val="19"/>
        </w:rPr>
        <w:t>Convert diligence into Day-1 actions</w:t>
      </w:r>
    </w:p>
    <w:p>
      <w:pPr>
        <w:pStyle w:val="Heading2"/>
        <w:spacing w:before="160"/>
      </w:pPr>
      <w:r>
        <w:t>First Prompt to Test</w:t>
      </w:r>
    </w:p>
    <w:p>
      <w:pPr>
        <w:spacing w:after="80"/>
      </w:pPr>
      <w:r>
        <w:rPr>
          <w:rFonts w:ascii="Arial" w:hAnsi="Arial" w:eastAsia="Arial"/>
          <w:color w:val="161413"/>
          <w:sz w:val="19"/>
        </w:rPr>
        <w:t>“Review this target company overview from an operating diligence lens. Identify value creation opportunities, risks, diligence questions, and post-close priorities.”</w:t>
      </w:r>
    </w:p>
    <w:p>
      <w:r>
        <w:br w:type="page"/>
      </w:r>
    </w:p>
    <w:p>
      <w:pPr>
        <w:pStyle w:val="Heading1"/>
        <w:spacing w:before="200"/>
      </w:pPr>
      <w:r>
        <w:t>Prompt Library</w:t>
      </w:r>
    </w:p>
    <w:p>
      <w:pPr>
        <w:pStyle w:val="Heading2"/>
        <w:spacing w:before="160"/>
      </w:pPr>
      <w:r>
        <w:t>Operating Diligence Review</w:t>
      </w:r>
    </w:p>
    <w:p>
      <w:pPr>
        <w:spacing w:after="80"/>
      </w:pPr>
      <w:r>
        <w:rPr>
          <w:rFonts w:ascii="Arial" w:hAnsi="Arial" w:eastAsia="Arial"/>
          <w:color w:val="161413"/>
          <w:sz w:val="19"/>
        </w:rPr>
        <w:t>Review this target company material.</w:t>
      </w:r>
    </w:p>
    <w:p>
      <w:pPr>
        <w:spacing w:after="80"/>
      </w:pPr>
      <w:r>
        <w:rPr>
          <w:rFonts w:ascii="Arial" w:hAnsi="Arial" w:eastAsia="Arial"/>
          <w:color w:val="161413"/>
          <w:sz w:val="19"/>
        </w:rPr>
        <w:t>Return:</w:t>
      </w:r>
    </w:p>
    <w:p>
      <w:pPr>
        <w:pStyle w:val="ListNumber"/>
        <w:spacing w:after="80"/>
      </w:pPr>
      <w:r>
        <w:rPr>
          <w:rFonts w:ascii="Arial" w:hAnsi="Arial" w:eastAsia="Arial"/>
          <w:color w:val="161413"/>
          <w:sz w:val="19"/>
        </w:rPr>
        <w:t>Operating readout</w:t>
      </w:r>
    </w:p>
    <w:p>
      <w:pPr>
        <w:pStyle w:val="ListNumber"/>
        <w:spacing w:after="80"/>
      </w:pPr>
      <w:r>
        <w:rPr>
          <w:rFonts w:ascii="Arial" w:hAnsi="Arial" w:eastAsia="Arial"/>
          <w:color w:val="161413"/>
          <w:sz w:val="19"/>
        </w:rPr>
        <w:t>Value creation levers</w:t>
      </w:r>
    </w:p>
    <w:p>
      <w:pPr>
        <w:pStyle w:val="ListNumber"/>
        <w:spacing w:after="80"/>
      </w:pPr>
      <w:r>
        <w:rPr>
          <w:rFonts w:ascii="Arial" w:hAnsi="Arial" w:eastAsia="Arial"/>
          <w:color w:val="161413"/>
          <w:sz w:val="19"/>
        </w:rPr>
        <w:t>Key risks</w:t>
      </w:r>
    </w:p>
    <w:p>
      <w:pPr>
        <w:pStyle w:val="ListNumber"/>
        <w:spacing w:after="80"/>
      </w:pPr>
      <w:r>
        <w:rPr>
          <w:rFonts w:ascii="Arial" w:hAnsi="Arial" w:eastAsia="Arial"/>
          <w:color w:val="161413"/>
          <w:sz w:val="19"/>
        </w:rPr>
        <w:t>Data requests</w:t>
      </w:r>
    </w:p>
    <w:p>
      <w:pPr>
        <w:pStyle w:val="ListNumber"/>
        <w:spacing w:after="80"/>
      </w:pPr>
      <w:r>
        <w:rPr>
          <w:rFonts w:ascii="Arial" w:hAnsi="Arial" w:eastAsia="Arial"/>
          <w:color w:val="161413"/>
          <w:sz w:val="19"/>
        </w:rPr>
        <w:t>Management questions</w:t>
      </w:r>
    </w:p>
    <w:p>
      <w:pPr>
        <w:pStyle w:val="ListNumber"/>
        <w:spacing w:after="80"/>
      </w:pPr>
      <w:r>
        <w:rPr>
          <w:rFonts w:ascii="Arial" w:hAnsi="Arial" w:eastAsia="Arial"/>
          <w:color w:val="161413"/>
          <w:sz w:val="19"/>
        </w:rPr>
        <w:t>Post-close priorities</w:t>
      </w:r>
    </w:p>
    <w:p>
      <w:pPr>
        <w:pStyle w:val="ListNumber"/>
        <w:spacing w:after="80"/>
      </w:pPr>
      <w:r>
        <w:rPr>
          <w:rFonts w:ascii="Arial" w:hAnsi="Arial" w:eastAsia="Arial"/>
          <w:color w:val="161413"/>
          <w:sz w:val="19"/>
        </w:rPr>
        <w:t>Investment thesis implications</w:t>
      </w:r>
    </w:p>
    <w:p>
      <w:pPr>
        <w:pStyle w:val="Heading2"/>
        <w:spacing w:before="160"/>
      </w:pPr>
      <w:r>
        <w:t>Investment Thesis Stress Test</w:t>
      </w:r>
    </w:p>
    <w:p>
      <w:pPr>
        <w:spacing w:after="80"/>
      </w:pPr>
      <w:r>
        <w:rPr>
          <w:rFonts w:ascii="Arial" w:hAnsi="Arial" w:eastAsia="Arial"/>
          <w:color w:val="161413"/>
          <w:sz w:val="19"/>
        </w:rPr>
        <w:t>Stress-test this investment thesis.</w:t>
      </w:r>
    </w:p>
    <w:p>
      <w:pPr>
        <w:spacing w:after="80"/>
      </w:pPr>
      <w:r>
        <w:rPr>
          <w:rFonts w:ascii="Arial" w:hAnsi="Arial" w:eastAsia="Arial"/>
          <w:color w:val="161413"/>
          <w:sz w:val="19"/>
        </w:rPr>
        <w:t>Identify:</w:t>
      </w:r>
    </w:p>
    <w:p>
      <w:pPr>
        <w:pStyle w:val="ListBullet"/>
        <w:spacing w:after="80"/>
      </w:pPr>
      <w:r>
        <w:rPr>
          <w:rFonts w:ascii="Arial" w:hAnsi="Arial" w:eastAsia="Arial"/>
          <w:color w:val="161413"/>
          <w:sz w:val="19"/>
        </w:rPr>
        <w:t>What must be true</w:t>
      </w:r>
    </w:p>
    <w:p>
      <w:pPr>
        <w:pStyle w:val="ListBullet"/>
        <w:spacing w:after="80"/>
      </w:pPr>
      <w:r>
        <w:rPr>
          <w:rFonts w:ascii="Arial" w:hAnsi="Arial" w:eastAsia="Arial"/>
          <w:color w:val="161413"/>
          <w:sz w:val="19"/>
        </w:rPr>
        <w:t>Where evidence is weak</w:t>
      </w:r>
    </w:p>
    <w:p>
      <w:pPr>
        <w:pStyle w:val="ListBullet"/>
        <w:spacing w:after="80"/>
      </w:pPr>
      <w:r>
        <w:rPr>
          <w:rFonts w:ascii="Arial" w:hAnsi="Arial" w:eastAsia="Arial"/>
          <w:color w:val="161413"/>
          <w:sz w:val="19"/>
        </w:rPr>
        <w:t>Operating risks</w:t>
      </w:r>
    </w:p>
    <w:p>
      <w:pPr>
        <w:pStyle w:val="ListBullet"/>
        <w:spacing w:after="80"/>
      </w:pPr>
      <w:r>
        <w:rPr>
          <w:rFonts w:ascii="Arial" w:hAnsi="Arial" w:eastAsia="Arial"/>
          <w:color w:val="161413"/>
          <w:sz w:val="19"/>
        </w:rPr>
        <w:t>Market risks</w:t>
      </w:r>
    </w:p>
    <w:p>
      <w:pPr>
        <w:pStyle w:val="ListBullet"/>
        <w:spacing w:after="80"/>
      </w:pPr>
      <w:r>
        <w:rPr>
          <w:rFonts w:ascii="Arial" w:hAnsi="Arial" w:eastAsia="Arial"/>
          <w:color w:val="161413"/>
          <w:sz w:val="19"/>
        </w:rPr>
        <w:t>Management risks</w:t>
      </w:r>
    </w:p>
    <w:p>
      <w:pPr>
        <w:pStyle w:val="ListBullet"/>
        <w:spacing w:after="80"/>
      </w:pPr>
      <w:r>
        <w:rPr>
          <w:rFonts w:ascii="Arial" w:hAnsi="Arial" w:eastAsia="Arial"/>
          <w:color w:val="161413"/>
          <w:sz w:val="19"/>
        </w:rPr>
        <w:t>Value creation dependencies</w:t>
      </w:r>
    </w:p>
    <w:p>
      <w:pPr>
        <w:pStyle w:val="ListBullet"/>
        <w:spacing w:after="80"/>
      </w:pPr>
      <w:r>
        <w:rPr>
          <w:rFonts w:ascii="Arial" w:hAnsi="Arial" w:eastAsia="Arial"/>
          <w:color w:val="161413"/>
          <w:sz w:val="19"/>
        </w:rPr>
        <w:t>Diligence questions</w:t>
      </w:r>
    </w:p>
    <w:p>
      <w:pPr>
        <w:pStyle w:val="Heading2"/>
        <w:spacing w:before="160"/>
      </w:pPr>
      <w:r>
        <w:t>Management Question Bank</w:t>
      </w:r>
    </w:p>
    <w:p>
      <w:pPr>
        <w:spacing w:after="80"/>
      </w:pPr>
      <w:r>
        <w:rPr>
          <w:rFonts w:ascii="Arial" w:hAnsi="Arial" w:eastAsia="Arial"/>
          <w:color w:val="161413"/>
          <w:sz w:val="19"/>
        </w:rPr>
        <w:t>Create management diligence questions by function:</w:t>
      </w:r>
    </w:p>
    <w:p>
      <w:pPr>
        <w:pStyle w:val="ListBullet"/>
        <w:spacing w:after="80"/>
      </w:pPr>
      <w:r>
        <w:rPr>
          <w:rFonts w:ascii="Arial" w:hAnsi="Arial" w:eastAsia="Arial"/>
          <w:color w:val="161413"/>
          <w:sz w:val="19"/>
        </w:rPr>
        <w:t>CEO</w:t>
      </w:r>
    </w:p>
    <w:p>
      <w:pPr>
        <w:pStyle w:val="ListBullet"/>
        <w:spacing w:after="80"/>
      </w:pPr>
      <w:r>
        <w:rPr>
          <w:rFonts w:ascii="Arial" w:hAnsi="Arial" w:eastAsia="Arial"/>
          <w:color w:val="161413"/>
          <w:sz w:val="19"/>
        </w:rPr>
        <w:t>CFO</w:t>
      </w:r>
    </w:p>
    <w:p>
      <w:pPr>
        <w:pStyle w:val="ListBullet"/>
        <w:spacing w:after="80"/>
      </w:pPr>
      <w:r>
        <w:rPr>
          <w:rFonts w:ascii="Arial" w:hAnsi="Arial" w:eastAsia="Arial"/>
          <w:color w:val="161413"/>
          <w:sz w:val="19"/>
        </w:rPr>
        <w:t>CRO / Sales</w:t>
      </w:r>
    </w:p>
    <w:p>
      <w:pPr>
        <w:pStyle w:val="ListBullet"/>
        <w:spacing w:after="80"/>
      </w:pPr>
      <w:r>
        <w:rPr>
          <w:rFonts w:ascii="Arial" w:hAnsi="Arial" w:eastAsia="Arial"/>
          <w:color w:val="161413"/>
          <w:sz w:val="19"/>
        </w:rPr>
        <w:t>COO / Operations</w:t>
      </w:r>
    </w:p>
    <w:p>
      <w:pPr>
        <w:pStyle w:val="ListBullet"/>
        <w:spacing w:after="80"/>
      </w:pPr>
      <w:r>
        <w:rPr>
          <w:rFonts w:ascii="Arial" w:hAnsi="Arial" w:eastAsia="Arial"/>
          <w:color w:val="161413"/>
          <w:sz w:val="19"/>
        </w:rPr>
        <w:t>HR / Talent</w:t>
      </w:r>
    </w:p>
    <w:p>
      <w:pPr>
        <w:pStyle w:val="ListBullet"/>
        <w:spacing w:after="80"/>
      </w:pPr>
      <w:r>
        <w:rPr>
          <w:rFonts w:ascii="Arial" w:hAnsi="Arial" w:eastAsia="Arial"/>
          <w:color w:val="161413"/>
          <w:sz w:val="19"/>
        </w:rPr>
        <w:t>IT / Data</w:t>
      </w:r>
    </w:p>
    <w:p>
      <w:pPr>
        <w:pStyle w:val="ListBullet"/>
        <w:spacing w:after="80"/>
      </w:pPr>
      <w:r>
        <w:rPr>
          <w:rFonts w:ascii="Arial" w:hAnsi="Arial" w:eastAsia="Arial"/>
          <w:color w:val="161413"/>
          <w:sz w:val="19"/>
        </w:rPr>
        <w:t>Customer Success</w:t>
      </w:r>
    </w:p>
    <w:p>
      <w:pPr>
        <w:pStyle w:val="Heading2"/>
        <w:spacing w:before="160"/>
      </w:pPr>
      <w:r>
        <w:t>Risk Register</w:t>
      </w:r>
    </w:p>
    <w:p>
      <w:pPr>
        <w:spacing w:after="80"/>
      </w:pPr>
      <w:r>
        <w:rPr>
          <w:rFonts w:ascii="Arial" w:hAnsi="Arial" w:eastAsia="Arial"/>
          <w:color w:val="161413"/>
          <w:sz w:val="19"/>
        </w:rPr>
        <w:t>Convert these findings into a diligence risk register.</w:t>
      </w:r>
    </w:p>
    <w:p>
      <w:pPr>
        <w:spacing w:after="80"/>
      </w:pPr>
      <w:r>
        <w:rPr>
          <w:rFonts w:ascii="Arial" w:hAnsi="Arial" w:eastAsia="Arial"/>
          <w:color w:val="161413"/>
          <w:sz w:val="19"/>
        </w:rPr>
        <w:t>Columns:</w:t>
      </w:r>
    </w:p>
    <w:p>
      <w:pPr>
        <w:pStyle w:val="ListBullet"/>
        <w:spacing w:after="80"/>
      </w:pPr>
      <w:r>
        <w:rPr>
          <w:rFonts w:ascii="Arial" w:hAnsi="Arial" w:eastAsia="Arial"/>
          <w:color w:val="161413"/>
          <w:sz w:val="19"/>
        </w:rPr>
        <w:t>Risk</w:t>
      </w:r>
    </w:p>
    <w:p>
      <w:pPr>
        <w:pStyle w:val="ListBullet"/>
        <w:spacing w:after="80"/>
      </w:pPr>
      <w:r>
        <w:rPr>
          <w:rFonts w:ascii="Arial" w:hAnsi="Arial" w:eastAsia="Arial"/>
          <w:color w:val="161413"/>
          <w:sz w:val="19"/>
        </w:rPr>
        <w:t>Evidence</w:t>
      </w:r>
    </w:p>
    <w:p>
      <w:pPr>
        <w:pStyle w:val="ListBullet"/>
        <w:spacing w:after="80"/>
      </w:pPr>
      <w:r>
        <w:rPr>
          <w:rFonts w:ascii="Arial" w:hAnsi="Arial" w:eastAsia="Arial"/>
          <w:color w:val="161413"/>
          <w:sz w:val="19"/>
        </w:rPr>
        <w:t>Severity</w:t>
      </w:r>
    </w:p>
    <w:p>
      <w:pPr>
        <w:pStyle w:val="ListBullet"/>
        <w:spacing w:after="80"/>
      </w:pPr>
      <w:r>
        <w:rPr>
          <w:rFonts w:ascii="Arial" w:hAnsi="Arial" w:eastAsia="Arial"/>
          <w:color w:val="161413"/>
          <w:sz w:val="19"/>
        </w:rPr>
        <w:t>Likelihood</w:t>
      </w:r>
    </w:p>
    <w:p>
      <w:pPr>
        <w:pStyle w:val="ListBullet"/>
        <w:spacing w:after="80"/>
      </w:pPr>
      <w:r>
        <w:rPr>
          <w:rFonts w:ascii="Arial" w:hAnsi="Arial" w:eastAsia="Arial"/>
          <w:color w:val="161413"/>
          <w:sz w:val="19"/>
        </w:rPr>
        <w:t>Mitigation</w:t>
      </w:r>
    </w:p>
    <w:p>
      <w:pPr>
        <w:pStyle w:val="ListBullet"/>
        <w:spacing w:after="80"/>
      </w:pPr>
      <w:r>
        <w:rPr>
          <w:rFonts w:ascii="Arial" w:hAnsi="Arial" w:eastAsia="Arial"/>
          <w:color w:val="161413"/>
          <w:sz w:val="19"/>
        </w:rPr>
        <w:t>Data needed</w:t>
      </w:r>
    </w:p>
    <w:p>
      <w:pPr>
        <w:pStyle w:val="ListBullet"/>
        <w:spacing w:after="80"/>
      </w:pPr>
      <w:r>
        <w:rPr>
          <w:rFonts w:ascii="Arial" w:hAnsi="Arial" w:eastAsia="Arial"/>
          <w:color w:val="161413"/>
          <w:sz w:val="19"/>
        </w:rPr>
        <w:t>Post-close implication</w:t>
      </w:r>
    </w:p>
    <w:p>
      <w:pPr>
        <w:pStyle w:val="Heading2"/>
        <w:spacing w:before="160"/>
      </w:pPr>
      <w:r>
        <w:t>Post-Close Priority List</w:t>
      </w:r>
    </w:p>
    <w:p>
      <w:pPr>
        <w:spacing w:after="80"/>
      </w:pPr>
      <w:r>
        <w:rPr>
          <w:rFonts w:ascii="Arial" w:hAnsi="Arial" w:eastAsia="Arial"/>
          <w:color w:val="161413"/>
          <w:sz w:val="19"/>
        </w:rPr>
        <w:t>Convert diligence findings into Day-1, Day-30, and Day-100 priorities.</w:t>
      </w:r>
    </w:p>
    <w:p>
      <w:pPr>
        <w:pStyle w:val="Heading1"/>
        <w:spacing w:before="200"/>
      </w:pPr>
      <w:r>
        <w:t>Output Templates</w:t>
      </w:r>
    </w:p>
    <w:p>
      <w:pPr>
        <w:pStyle w:val="Heading2"/>
        <w:spacing w:before="160"/>
      </w:pPr>
      <w:r>
        <w:t>Operating Diligence Memo</w:t>
      </w:r>
    </w:p>
    <w:p>
      <w:pPr>
        <w:pStyle w:val="Heading3"/>
        <w:spacing w:before="120"/>
      </w:pPr>
      <w:r>
        <w:t>Executive Readout</w:t>
      </w:r>
    </w:p>
    <w:p>
      <w:pPr>
        <w:spacing w:after="80"/>
      </w:pPr>
      <w:r>
        <w:rPr>
          <w:rFonts w:ascii="Arial" w:hAnsi="Arial" w:eastAsia="Arial"/>
          <w:color w:val="161413"/>
          <w:sz w:val="19"/>
        </w:rPr>
        <w:t>[3-5 bullets]</w:t>
      </w:r>
    </w:p>
    <w:p>
      <w:pPr>
        <w:pStyle w:val="Heading3"/>
        <w:spacing w:before="120"/>
      </w:pPr>
      <w:r>
        <w:t>Value Creation Levers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tcBorders>
              <w:top w:val="single" w:sz="4" w:space="0" w:color="DED8CD"/>
              <w:left w:val="single" w:sz="4" w:space="0" w:color="DED8CD"/>
              <w:bottom w:val="single" w:sz="4" w:space="0" w:color="DED8CD"/>
              <w:right w:val="single" w:sz="4" w:space="0" w:color="DED8CD"/>
            </w:tcBorders>
            <w:shd w:fill="161413"/>
          </w:tcPr>
          <w:p>
            <w:pPr>
              <w:spacing w:after="0"/>
            </w:pPr>
            <w:r/>
            <w:r>
              <w:rPr>
                <w:rFonts w:ascii="Arial" w:hAnsi="Arial" w:eastAsia="Arial"/>
                <w:b/>
                <w:color w:val="FFFFFF"/>
                <w:sz w:val="17"/>
              </w:rPr>
              <w:t>Lever</w:t>
            </w:r>
          </w:p>
        </w:tc>
        <w:tc>
          <w:tcPr>
            <w:tcW w:type="dxa" w:w="2045"/>
            <w:vAlign w:val="top"/>
            <w:tcBorders>
              <w:top w:val="single" w:sz="4" w:space="0" w:color="DED8CD"/>
              <w:left w:val="single" w:sz="4" w:space="0" w:color="DED8CD"/>
              <w:bottom w:val="single" w:sz="4" w:space="0" w:color="DED8CD"/>
              <w:right w:val="single" w:sz="4" w:space="0" w:color="DED8CD"/>
            </w:tcBorders>
            <w:shd w:fill="161413"/>
          </w:tcPr>
          <w:p>
            <w:pPr>
              <w:spacing w:after="0"/>
            </w:pPr>
            <w:r/>
            <w:r>
              <w:rPr>
                <w:rFonts w:ascii="Arial" w:hAnsi="Arial" w:eastAsia="Arial"/>
                <w:b/>
                <w:color w:val="FFFFFF"/>
                <w:sz w:val="17"/>
              </w:rPr>
              <w:t>Why It May Exist</w:t>
            </w:r>
          </w:p>
        </w:tc>
        <w:tc>
          <w:tcPr>
            <w:tcW w:type="dxa" w:w="2045"/>
            <w:vAlign w:val="top"/>
            <w:tcBorders>
              <w:top w:val="single" w:sz="4" w:space="0" w:color="DED8CD"/>
              <w:left w:val="single" w:sz="4" w:space="0" w:color="DED8CD"/>
              <w:bottom w:val="single" w:sz="4" w:space="0" w:color="DED8CD"/>
              <w:right w:val="single" w:sz="4" w:space="0" w:color="DED8CD"/>
            </w:tcBorders>
            <w:shd w:fill="161413"/>
          </w:tcPr>
          <w:p>
            <w:pPr>
              <w:spacing w:after="0"/>
            </w:pPr>
            <w:r/>
            <w:r>
              <w:rPr>
                <w:rFonts w:ascii="Arial" w:hAnsi="Arial" w:eastAsia="Arial"/>
                <w:b/>
                <w:color w:val="FFFFFF"/>
                <w:sz w:val="17"/>
              </w:rPr>
              <w:t>Data Needed</w:t>
            </w:r>
          </w:p>
        </w:tc>
        <w:tc>
          <w:tcPr>
            <w:tcW w:type="dxa" w:w="2045"/>
            <w:vAlign w:val="top"/>
            <w:tcBorders>
              <w:top w:val="single" w:sz="4" w:space="0" w:color="DED8CD"/>
              <w:left w:val="single" w:sz="4" w:space="0" w:color="DED8CD"/>
              <w:bottom w:val="single" w:sz="4" w:space="0" w:color="DED8CD"/>
              <w:right w:val="single" w:sz="4" w:space="0" w:color="DED8CD"/>
            </w:tcBorders>
            <w:shd w:fill="161413"/>
          </w:tcPr>
          <w:p>
            <w:pPr>
              <w:spacing w:after="0"/>
            </w:pPr>
            <w:r/>
            <w:r>
              <w:rPr>
                <w:rFonts w:ascii="Arial" w:hAnsi="Arial" w:eastAsia="Arial"/>
                <w:b/>
                <w:color w:val="FFFFFF"/>
                <w:sz w:val="17"/>
              </w:rPr>
              <w:t>First Action</w:t>
            </w:r>
          </w:p>
        </w:tc>
        <w:tc>
          <w:tcPr>
            <w:tcW w:type="dxa" w:w="2045"/>
            <w:vAlign w:val="top"/>
            <w:tcBorders>
              <w:top w:val="single" w:sz="4" w:space="0" w:color="DED8CD"/>
              <w:left w:val="single" w:sz="4" w:space="0" w:color="DED8CD"/>
              <w:bottom w:val="single" w:sz="4" w:space="0" w:color="DED8CD"/>
              <w:right w:val="single" w:sz="4" w:space="0" w:color="DED8CD"/>
            </w:tcBorders>
            <w:shd w:fill="161413"/>
          </w:tcPr>
          <w:p>
            <w:pPr>
              <w:spacing w:after="0"/>
            </w:pPr>
            <w:r/>
            <w:r>
              <w:rPr>
                <w:rFonts w:ascii="Arial" w:hAnsi="Arial" w:eastAsia="Arial"/>
                <w:b/>
                <w:color w:val="FFFFFF"/>
                <w:sz w:val="17"/>
              </w:rPr>
              <w:t>Value Logic</w:t>
            </w:r>
          </w:p>
        </w:tc>
      </w:tr>
    </w:tbl>
    <w:p>
      <w:pPr>
        <w:spacing w:after="40"/>
      </w:pPr>
    </w:p>
    <w:p>
      <w:pPr>
        <w:pStyle w:val="Heading3"/>
        <w:spacing w:before="120"/>
      </w:pPr>
      <w:r>
        <w:t>Operating Risks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tcBorders>
              <w:top w:val="single" w:sz="4" w:space="0" w:color="DED8CD"/>
              <w:left w:val="single" w:sz="4" w:space="0" w:color="DED8CD"/>
              <w:bottom w:val="single" w:sz="4" w:space="0" w:color="DED8CD"/>
              <w:right w:val="single" w:sz="4" w:space="0" w:color="DED8CD"/>
            </w:tcBorders>
            <w:shd w:fill="161413"/>
          </w:tcPr>
          <w:p>
            <w:pPr>
              <w:spacing w:after="0"/>
            </w:pPr>
            <w:r/>
            <w:r>
              <w:rPr>
                <w:rFonts w:ascii="Arial" w:hAnsi="Arial" w:eastAsia="Arial"/>
                <w:b/>
                <w:color w:val="FFFFFF"/>
                <w:sz w:val="17"/>
              </w:rPr>
              <w:t>Risk</w:t>
            </w:r>
          </w:p>
        </w:tc>
        <w:tc>
          <w:tcPr>
            <w:tcW w:type="dxa" w:w="2045"/>
            <w:vAlign w:val="top"/>
            <w:tcBorders>
              <w:top w:val="single" w:sz="4" w:space="0" w:color="DED8CD"/>
              <w:left w:val="single" w:sz="4" w:space="0" w:color="DED8CD"/>
              <w:bottom w:val="single" w:sz="4" w:space="0" w:color="DED8CD"/>
              <w:right w:val="single" w:sz="4" w:space="0" w:color="DED8CD"/>
            </w:tcBorders>
            <w:shd w:fill="161413"/>
          </w:tcPr>
          <w:p>
            <w:pPr>
              <w:spacing w:after="0"/>
            </w:pPr>
            <w:r/>
            <w:r>
              <w:rPr>
                <w:rFonts w:ascii="Arial" w:hAnsi="Arial" w:eastAsia="Arial"/>
                <w:b/>
                <w:color w:val="FFFFFF"/>
                <w:sz w:val="17"/>
              </w:rPr>
              <w:t>Evidence</w:t>
            </w:r>
          </w:p>
        </w:tc>
        <w:tc>
          <w:tcPr>
            <w:tcW w:type="dxa" w:w="2045"/>
            <w:vAlign w:val="top"/>
            <w:tcBorders>
              <w:top w:val="single" w:sz="4" w:space="0" w:color="DED8CD"/>
              <w:left w:val="single" w:sz="4" w:space="0" w:color="DED8CD"/>
              <w:bottom w:val="single" w:sz="4" w:space="0" w:color="DED8CD"/>
              <w:right w:val="single" w:sz="4" w:space="0" w:color="DED8CD"/>
            </w:tcBorders>
            <w:shd w:fill="161413"/>
          </w:tcPr>
          <w:p>
            <w:pPr>
              <w:spacing w:after="0"/>
            </w:pPr>
            <w:r/>
            <w:r>
              <w:rPr>
                <w:rFonts w:ascii="Arial" w:hAnsi="Arial" w:eastAsia="Arial"/>
                <w:b/>
                <w:color w:val="FFFFFF"/>
                <w:sz w:val="17"/>
              </w:rPr>
              <w:t>Severity</w:t>
            </w:r>
          </w:p>
        </w:tc>
        <w:tc>
          <w:tcPr>
            <w:tcW w:type="dxa" w:w="2045"/>
            <w:vAlign w:val="top"/>
            <w:tcBorders>
              <w:top w:val="single" w:sz="4" w:space="0" w:color="DED8CD"/>
              <w:left w:val="single" w:sz="4" w:space="0" w:color="DED8CD"/>
              <w:bottom w:val="single" w:sz="4" w:space="0" w:color="DED8CD"/>
              <w:right w:val="single" w:sz="4" w:space="0" w:color="DED8CD"/>
            </w:tcBorders>
            <w:shd w:fill="161413"/>
          </w:tcPr>
          <w:p>
            <w:pPr>
              <w:spacing w:after="0"/>
            </w:pPr>
            <w:r/>
            <w:r>
              <w:rPr>
                <w:rFonts w:ascii="Arial" w:hAnsi="Arial" w:eastAsia="Arial"/>
                <w:b/>
                <w:color w:val="FFFFFF"/>
                <w:sz w:val="17"/>
              </w:rPr>
              <w:t>Mitigation</w:t>
            </w:r>
          </w:p>
        </w:tc>
        <w:tc>
          <w:tcPr>
            <w:tcW w:type="dxa" w:w="2045"/>
            <w:vAlign w:val="top"/>
            <w:tcBorders>
              <w:top w:val="single" w:sz="4" w:space="0" w:color="DED8CD"/>
              <w:left w:val="single" w:sz="4" w:space="0" w:color="DED8CD"/>
              <w:bottom w:val="single" w:sz="4" w:space="0" w:color="DED8CD"/>
              <w:right w:val="single" w:sz="4" w:space="0" w:color="DED8CD"/>
            </w:tcBorders>
            <w:shd w:fill="161413"/>
          </w:tcPr>
          <w:p>
            <w:pPr>
              <w:spacing w:after="0"/>
            </w:pPr>
            <w:r/>
            <w:r>
              <w:rPr>
                <w:rFonts w:ascii="Arial" w:hAnsi="Arial" w:eastAsia="Arial"/>
                <w:b/>
                <w:color w:val="FFFFFF"/>
                <w:sz w:val="17"/>
              </w:rPr>
              <w:t>Diligence Question</w:t>
            </w:r>
          </w:p>
        </w:tc>
      </w:tr>
    </w:tbl>
    <w:p>
      <w:pPr>
        <w:spacing w:after="40"/>
      </w:pPr>
    </w:p>
    <w:p>
      <w:pPr>
        <w:pStyle w:val="Heading3"/>
        <w:spacing w:before="120"/>
      </w:pPr>
      <w:r>
        <w:t>Post-Close Priorities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tcBorders>
              <w:top w:val="single" w:sz="4" w:space="0" w:color="DED8CD"/>
              <w:left w:val="single" w:sz="4" w:space="0" w:color="DED8CD"/>
              <w:bottom w:val="single" w:sz="4" w:space="0" w:color="DED8CD"/>
              <w:right w:val="single" w:sz="4" w:space="0" w:color="DED8CD"/>
            </w:tcBorders>
            <w:shd w:fill="161413"/>
          </w:tcPr>
          <w:p>
            <w:pPr>
              <w:spacing w:after="0"/>
            </w:pPr>
            <w:r/>
            <w:r>
              <w:rPr>
                <w:rFonts w:ascii="Arial" w:hAnsi="Arial" w:eastAsia="Arial"/>
                <w:b/>
                <w:color w:val="FFFFFF"/>
                <w:sz w:val="17"/>
              </w:rPr>
              <w:t>Timing</w:t>
            </w:r>
          </w:p>
        </w:tc>
        <w:tc>
          <w:tcPr>
            <w:tcW w:type="dxa" w:w="2045"/>
            <w:vAlign w:val="top"/>
            <w:tcBorders>
              <w:top w:val="single" w:sz="4" w:space="0" w:color="DED8CD"/>
              <w:left w:val="single" w:sz="4" w:space="0" w:color="DED8CD"/>
              <w:bottom w:val="single" w:sz="4" w:space="0" w:color="DED8CD"/>
              <w:right w:val="single" w:sz="4" w:space="0" w:color="DED8CD"/>
            </w:tcBorders>
            <w:shd w:fill="161413"/>
          </w:tcPr>
          <w:p>
            <w:pPr>
              <w:spacing w:after="0"/>
            </w:pPr>
            <w:r/>
            <w:r>
              <w:rPr>
                <w:rFonts w:ascii="Arial" w:hAnsi="Arial" w:eastAsia="Arial"/>
                <w:b/>
                <w:color w:val="FFFFFF"/>
                <w:sz w:val="17"/>
              </w:rPr>
              <w:t>Priority</w:t>
            </w:r>
          </w:p>
        </w:tc>
        <w:tc>
          <w:tcPr>
            <w:tcW w:type="dxa" w:w="2045"/>
            <w:vAlign w:val="top"/>
            <w:tcBorders>
              <w:top w:val="single" w:sz="4" w:space="0" w:color="DED8CD"/>
              <w:left w:val="single" w:sz="4" w:space="0" w:color="DED8CD"/>
              <w:bottom w:val="single" w:sz="4" w:space="0" w:color="DED8CD"/>
              <w:right w:val="single" w:sz="4" w:space="0" w:color="DED8CD"/>
            </w:tcBorders>
            <w:shd w:fill="161413"/>
          </w:tcPr>
          <w:p>
            <w:pPr>
              <w:spacing w:after="0"/>
            </w:pPr>
            <w:r/>
            <w:r>
              <w:rPr>
                <w:rFonts w:ascii="Arial" w:hAnsi="Arial" w:eastAsia="Arial"/>
                <w:b/>
                <w:color w:val="FFFFFF"/>
                <w:sz w:val="17"/>
              </w:rPr>
              <w:t>Owner</w:t>
            </w:r>
          </w:p>
        </w:tc>
        <w:tc>
          <w:tcPr>
            <w:tcW w:type="dxa" w:w="2045"/>
            <w:vAlign w:val="top"/>
            <w:tcBorders>
              <w:top w:val="single" w:sz="4" w:space="0" w:color="DED8CD"/>
              <w:left w:val="single" w:sz="4" w:space="0" w:color="DED8CD"/>
              <w:bottom w:val="single" w:sz="4" w:space="0" w:color="DED8CD"/>
              <w:right w:val="single" w:sz="4" w:space="0" w:color="DED8CD"/>
            </w:tcBorders>
            <w:shd w:fill="161413"/>
          </w:tcPr>
          <w:p>
            <w:pPr>
              <w:spacing w:after="0"/>
            </w:pPr>
            <w:r/>
            <w:r>
              <w:rPr>
                <w:rFonts w:ascii="Arial" w:hAnsi="Arial" w:eastAsia="Arial"/>
                <w:b/>
                <w:color w:val="FFFFFF"/>
                <w:sz w:val="17"/>
              </w:rPr>
              <w:t>Rationale</w:t>
            </w:r>
          </w:p>
        </w:tc>
        <w:tc>
          <w:tcPr>
            <w:tcW w:type="dxa" w:w="2045"/>
            <w:vAlign w:val="top"/>
            <w:tcBorders>
              <w:top w:val="single" w:sz="4" w:space="0" w:color="DED8CD"/>
              <w:left w:val="single" w:sz="4" w:space="0" w:color="DED8CD"/>
              <w:bottom w:val="single" w:sz="4" w:space="0" w:color="DED8CD"/>
              <w:right w:val="single" w:sz="4" w:space="0" w:color="DED8CD"/>
            </w:tcBorders>
            <w:shd w:fill="161413"/>
          </w:tcPr>
          <w:p>
            <w:pPr>
              <w:spacing w:after="0"/>
            </w:pPr>
            <w:r/>
            <w:r>
              <w:rPr>
                <w:rFonts w:ascii="Arial" w:hAnsi="Arial" w:eastAsia="Arial"/>
                <w:b/>
                <w:color w:val="FFFFFF"/>
                <w:sz w:val="17"/>
              </w:rPr>
              <w:t>KPI</w:t>
            </w:r>
          </w:p>
        </w:tc>
      </w:tr>
    </w:tbl>
    <w:p>
      <w:pPr>
        <w:spacing w:after="40"/>
      </w:pPr>
    </w:p>
    <w:p>
      <w:pPr>
        <w:pStyle w:val="Heading1"/>
        <w:spacing w:before="200"/>
      </w:pPr>
      <w:r>
        <w:t>QA Checklist</w:t>
      </w:r>
    </w:p>
    <w:p>
      <w:pPr>
        <w:spacing w:after="80"/>
      </w:pPr>
      <w:r>
        <w:rPr>
          <w:rFonts w:ascii="Arial" w:hAnsi="Arial" w:eastAsia="Arial"/>
          <w:color w:val="161413"/>
          <w:sz w:val="19"/>
        </w:rPr>
        <w:t>Check that:</w:t>
      </w:r>
    </w:p>
    <w:p>
      <w:pPr>
        <w:pStyle w:val="ListBullet"/>
        <w:spacing w:after="80"/>
      </w:pPr>
      <w:r>
        <w:rPr>
          <w:rFonts w:ascii="Arial" w:hAnsi="Arial" w:eastAsia="Arial"/>
          <w:color w:val="161413"/>
          <w:sz w:val="19"/>
        </w:rPr>
        <w:t>It does not assume the deal is good</w:t>
      </w:r>
    </w:p>
    <w:p>
      <w:pPr>
        <w:pStyle w:val="ListBullet"/>
        <w:spacing w:after="80"/>
      </w:pPr>
      <w:r>
        <w:rPr>
          <w:rFonts w:ascii="Arial" w:hAnsi="Arial" w:eastAsia="Arial"/>
          <w:color w:val="161413"/>
          <w:sz w:val="19"/>
        </w:rPr>
        <w:t>It distinguishes opportunity from evidence</w:t>
      </w:r>
    </w:p>
    <w:p>
      <w:pPr>
        <w:pStyle w:val="ListBullet"/>
        <w:spacing w:after="80"/>
      </w:pPr>
      <w:r>
        <w:rPr>
          <w:rFonts w:ascii="Arial" w:hAnsi="Arial" w:eastAsia="Arial"/>
          <w:color w:val="161413"/>
          <w:sz w:val="19"/>
        </w:rPr>
        <w:t>Risks are specific</w:t>
      </w:r>
    </w:p>
    <w:p>
      <w:pPr>
        <w:pStyle w:val="ListBullet"/>
        <w:spacing w:after="80"/>
      </w:pPr>
      <w:r>
        <w:rPr>
          <w:rFonts w:ascii="Arial" w:hAnsi="Arial" w:eastAsia="Arial"/>
          <w:color w:val="161413"/>
          <w:sz w:val="19"/>
        </w:rPr>
        <w:t>Questions are useful in diligence</w:t>
      </w:r>
    </w:p>
    <w:p>
      <w:pPr>
        <w:pStyle w:val="ListBullet"/>
        <w:spacing w:after="80"/>
      </w:pPr>
      <w:r>
        <w:rPr>
          <w:rFonts w:ascii="Arial" w:hAnsi="Arial" w:eastAsia="Arial"/>
          <w:color w:val="161413"/>
          <w:sz w:val="19"/>
        </w:rPr>
        <w:t>Post-close priorities follow from findings</w:t>
      </w:r>
    </w:p>
    <w:p>
      <w:pPr>
        <w:pStyle w:val="ListBullet"/>
        <w:spacing w:after="80"/>
      </w:pPr>
      <w:r>
        <w:rPr>
          <w:rFonts w:ascii="Arial" w:hAnsi="Arial" w:eastAsia="Arial"/>
          <w:color w:val="161413"/>
          <w:sz w:val="19"/>
        </w:rPr>
        <w:t>It identifies what must be true</w:t>
      </w:r>
    </w:p>
    <w:p>
      <w:pPr>
        <w:pStyle w:val="ListBullet"/>
        <w:spacing w:after="80"/>
      </w:pPr>
      <w:r>
        <w:rPr>
          <w:rFonts w:ascii="Arial" w:hAnsi="Arial" w:eastAsia="Arial"/>
          <w:color w:val="161413"/>
          <w:sz w:val="19"/>
        </w:rPr>
        <w:t>It avoids generic diligence language</w:t>
      </w:r>
    </w:p>
    <w:p>
      <w:pPr>
        <w:pStyle w:val="Heading1"/>
        <w:spacing w:before="200"/>
      </w:pPr>
      <w:r>
        <w:t>Recommended Attachments</w:t>
      </w:r>
    </w:p>
    <w:p>
      <w:pPr>
        <w:spacing w:after="80"/>
      </w:pPr>
      <w:r>
        <w:rPr>
          <w:rFonts w:ascii="Arial" w:hAnsi="Arial" w:eastAsia="Arial"/>
          <w:color w:val="161413"/>
          <w:sz w:val="19"/>
        </w:rPr>
        <w:t>Recommended attachments:</w:t>
      </w:r>
    </w:p>
    <w:p>
      <w:pPr>
        <w:pStyle w:val="ListNumber"/>
        <w:spacing w:after="80"/>
      </w:pPr>
      <w:r>
        <w:rPr>
          <w:rFonts w:ascii="Arial" w:hAnsi="Arial" w:eastAsia="Arial"/>
          <w:color w:val="161413"/>
          <w:sz w:val="19"/>
        </w:rPr>
        <w:t>CIM</w:t>
      </w:r>
    </w:p>
    <w:p>
      <w:pPr>
        <w:pStyle w:val="ListNumber"/>
        <w:spacing w:after="80"/>
      </w:pPr>
      <w:r>
        <w:rPr>
          <w:rFonts w:ascii="Arial" w:hAnsi="Arial" w:eastAsia="Arial"/>
          <w:color w:val="161413"/>
          <w:sz w:val="19"/>
        </w:rPr>
        <w:t>Management presentation</w:t>
      </w:r>
    </w:p>
    <w:p>
      <w:pPr>
        <w:pStyle w:val="ListNumber"/>
        <w:spacing w:after="80"/>
      </w:pPr>
      <w:r>
        <w:rPr>
          <w:rFonts w:ascii="Arial" w:hAnsi="Arial" w:eastAsia="Arial"/>
          <w:color w:val="161413"/>
          <w:sz w:val="19"/>
        </w:rPr>
        <w:t>Investment memo</w:t>
      </w:r>
    </w:p>
    <w:p>
      <w:pPr>
        <w:pStyle w:val="ListNumber"/>
        <w:spacing w:after="80"/>
      </w:pPr>
      <w:r>
        <w:rPr>
          <w:rFonts w:ascii="Arial" w:hAnsi="Arial" w:eastAsia="Arial"/>
          <w:color w:val="161413"/>
          <w:sz w:val="19"/>
        </w:rPr>
        <w:t>Financial summary</w:t>
      </w:r>
    </w:p>
    <w:p>
      <w:pPr>
        <w:pStyle w:val="ListNumber"/>
        <w:spacing w:after="80"/>
      </w:pPr>
      <w:r>
        <w:rPr>
          <w:rFonts w:ascii="Arial" w:hAnsi="Arial" w:eastAsia="Arial"/>
          <w:color w:val="161413"/>
          <w:sz w:val="19"/>
        </w:rPr>
        <w:t>Market research</w:t>
      </w:r>
    </w:p>
    <w:p>
      <w:pPr>
        <w:pStyle w:val="ListNumber"/>
        <w:spacing w:after="80"/>
      </w:pPr>
      <w:r>
        <w:rPr>
          <w:rFonts w:ascii="Arial" w:hAnsi="Arial" w:eastAsia="Arial"/>
          <w:color w:val="161413"/>
          <w:sz w:val="19"/>
        </w:rPr>
        <w:t>KPI data</w:t>
      </w:r>
    </w:p>
    <w:p>
      <w:pPr>
        <w:pStyle w:val="ListNumber"/>
        <w:spacing w:after="80"/>
      </w:pPr>
      <w:r>
        <w:rPr>
          <w:rFonts w:ascii="Arial" w:hAnsi="Arial" w:eastAsia="Arial"/>
          <w:color w:val="161413"/>
          <w:sz w:val="19"/>
        </w:rPr>
        <w:t>Management notes</w:t>
      </w:r>
    </w:p>
    <w:p>
      <w:pPr>
        <w:pStyle w:val="ListNumber"/>
        <w:spacing w:after="80"/>
      </w:pPr>
      <w:r>
        <w:rPr>
          <w:rFonts w:ascii="Arial" w:hAnsi="Arial" w:eastAsia="Arial"/>
          <w:color w:val="161413"/>
          <w:sz w:val="19"/>
        </w:rPr>
        <w:t>Customer / revenue data where available</w:t>
      </w:r>
    </w:p>
    <w:sectPr w:rsidR="00FC693F" w:rsidRPr="0006063C" w:rsidSect="00034616">
      <w:headerReference w:type="default" r:id="rId9"/>
      <w:footerReference w:type="default" r:id="rId10"/>
      <w:pgSz w:w="12240" w:h="15840"/>
      <w:pgMar w:top="864"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928B7E"/>
        <w:sz w:val="14"/>
      </w:rPr>
      <w:t>Ops2EBITDA - AI Project Kit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Georgia" w:hAnsi="Georgia" w:eastAsia="Georgia"/>
        <w:b w:val="0"/>
        <w:color w:val="161413"/>
        <w:sz w:val="36"/>
      </w:rPr>
      <w:t>Ops</w:t>
    </w:r>
    <w:r>
      <w:rPr>
        <w:rFonts w:ascii="Georgia" w:hAnsi="Georgia" w:eastAsia="Georgia"/>
        <w:b/>
        <w:i/>
        <w:color w:val="B8862F"/>
        <w:sz w:val="36"/>
      </w:rPr>
      <w:t>2</w:t>
    </w:r>
    <w:r>
      <w:rPr>
        <w:rFonts w:ascii="Georgia" w:hAnsi="Georgia" w:eastAsia="Georgia"/>
        <w:b w:val="0"/>
        <w:color w:val="161413"/>
        <w:sz w:val="36"/>
      </w:rPr>
      <w:t>EBITDA</w:t>
    </w:r>
    <w:r>
      <w:rPr>
        <w:rFonts w:ascii="Arial" w:hAnsi="Arial" w:eastAsia="Arial"/>
        <w:b/>
        <w:color w:val="928B7E"/>
        <w:sz w:val="16"/>
      </w:rPr>
      <w:t xml:space="preserve">    AI PROJECT KIT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6141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val="0"/>
      <w:bCs/>
      <w:color w:val="161413"/>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16141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Georgia"/>
      <w:b/>
      <w:bCs/>
      <w:color w:val="16141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color w:val="161413"/>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