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D7F82" w14:textId="77777777" w:rsidR="00D43DDD" w:rsidRPr="001E67F6" w:rsidRDefault="00C219E4">
      <w:pPr>
        <w:pStyle w:val="Standard"/>
        <w:rPr>
          <w:rFonts w:ascii="Tw Cen MT" w:hAnsi="Tw Cen MT"/>
          <w:b/>
          <w:bCs/>
          <w:sz w:val="32"/>
          <w:szCs w:val="32"/>
        </w:rPr>
      </w:pPr>
      <w:r w:rsidRPr="001E67F6">
        <w:rPr>
          <w:rFonts w:ascii="Tw Cen MT" w:hAnsi="Tw Cen MT"/>
          <w:b/>
          <w:bCs/>
          <w:sz w:val="32"/>
          <w:szCs w:val="32"/>
        </w:rPr>
        <w:t>STAGING SERVICES PROPOSAL</w:t>
      </w:r>
    </w:p>
    <w:p w14:paraId="71F17E35" w14:textId="77777777" w:rsidR="00D43DDD" w:rsidRDefault="00D43DDD">
      <w:pPr>
        <w:pStyle w:val="Standard"/>
        <w:rPr>
          <w:rFonts w:ascii="Tw Cen MT" w:hAnsi="Tw Cen MT"/>
        </w:rPr>
      </w:pPr>
    </w:p>
    <w:p w14:paraId="5883AB3E" w14:textId="77777777" w:rsidR="00D43DDD" w:rsidRDefault="00C219E4">
      <w:pPr>
        <w:pStyle w:val="Standard"/>
        <w:rPr>
          <w:rFonts w:ascii="Tw Cen MT" w:hAnsi="Tw Cen MT"/>
        </w:rPr>
      </w:pPr>
      <w:r>
        <w:rPr>
          <w:rFonts w:ascii="Tw Cen MT" w:hAnsi="Tw Cen MT"/>
          <w:b/>
          <w:bCs/>
        </w:rPr>
        <w:t>Date:</w:t>
      </w:r>
      <w:r>
        <w:rPr>
          <w:rFonts w:ascii="Tw Cen MT" w:hAnsi="Tw Cen MT"/>
        </w:rPr>
        <w:t xml:space="preserve"> </w:t>
      </w:r>
      <w:r>
        <w:rPr>
          <w:rFonts w:ascii="Tw Cen MT" w:hAnsi="Tw Cen MT"/>
        </w:rPr>
        <w:tab/>
      </w:r>
      <w:r>
        <w:rPr>
          <w:rFonts w:ascii="Tw Cen MT" w:hAnsi="Tw Cen MT"/>
        </w:rPr>
        <w:tab/>
      </w:r>
      <w:r>
        <w:rPr>
          <w:rFonts w:ascii="Tw Cen MT" w:hAnsi="Tw Cen MT"/>
        </w:rPr>
        <w:tab/>
      </w:r>
      <w:r>
        <w:rPr>
          <w:rFonts w:ascii="Tw Cen MT" w:hAnsi="Tw Cen MT"/>
        </w:rPr>
        <w:tab/>
        <w:t>6/15/2020</w:t>
      </w:r>
    </w:p>
    <w:p w14:paraId="4E4D4A41" w14:textId="77777777" w:rsidR="00D43DDD" w:rsidRDefault="00C219E4">
      <w:pPr>
        <w:pStyle w:val="Standard"/>
        <w:rPr>
          <w:rFonts w:ascii="Tw Cen MT" w:hAnsi="Tw Cen MT"/>
          <w:b/>
          <w:bCs/>
        </w:rPr>
      </w:pPr>
      <w:r>
        <w:rPr>
          <w:rFonts w:ascii="Tw Cen MT" w:hAnsi="Tw Cen MT"/>
          <w:b/>
          <w:bCs/>
        </w:rPr>
        <w:t>Prepared For:</w:t>
      </w:r>
    </w:p>
    <w:p w14:paraId="06268C90" w14:textId="77777777" w:rsidR="00D43DDD" w:rsidRDefault="00C219E4">
      <w:pPr>
        <w:pStyle w:val="Standard"/>
        <w:rPr>
          <w:rFonts w:ascii="Tw Cen MT" w:hAnsi="Tw Cen MT"/>
        </w:rPr>
      </w:pPr>
      <w:r>
        <w:rPr>
          <w:rFonts w:ascii="Tw Cen MT" w:hAnsi="Tw Cen MT"/>
          <w:b/>
          <w:bCs/>
        </w:rPr>
        <w:t>Property Address:</w:t>
      </w:r>
    </w:p>
    <w:p w14:paraId="0FEB27D6" w14:textId="77777777" w:rsidR="00D43DDD" w:rsidRDefault="00C219E4">
      <w:pPr>
        <w:pStyle w:val="Standard"/>
        <w:rPr>
          <w:rFonts w:ascii="Tw Cen MT" w:hAnsi="Tw Cen MT"/>
        </w:rPr>
      </w:pPr>
      <w:r>
        <w:rPr>
          <w:rFonts w:ascii="Tw Cen MT" w:hAnsi="Tw Cen MT"/>
          <w:b/>
          <w:bCs/>
        </w:rPr>
        <w:t>Tentative Staging Dates:</w:t>
      </w:r>
      <w:r>
        <w:rPr>
          <w:rFonts w:ascii="Tw Cen MT" w:hAnsi="Tw Cen MT"/>
        </w:rPr>
        <w:t xml:space="preserve"> </w:t>
      </w:r>
      <w:r>
        <w:rPr>
          <w:rFonts w:ascii="Tw Cen MT" w:hAnsi="Tw Cen MT"/>
        </w:rPr>
        <w:tab/>
        <w:t>6/25 – 6/26/2020</w:t>
      </w:r>
    </w:p>
    <w:p w14:paraId="4B640712" w14:textId="77777777" w:rsidR="00D43DDD" w:rsidRDefault="00D43DDD">
      <w:pPr>
        <w:pStyle w:val="Standard"/>
        <w:rPr>
          <w:rFonts w:ascii="Tw Cen MT" w:hAnsi="Tw Cen MT"/>
        </w:rPr>
      </w:pPr>
    </w:p>
    <w:p w14:paraId="57701E92" w14:textId="5BBD81FA" w:rsidR="00D43DDD" w:rsidRDefault="00C219E4">
      <w:pPr>
        <w:pStyle w:val="Standard"/>
        <w:rPr>
          <w:rFonts w:ascii="Tw Cen MT" w:hAnsi="Tw Cen MT"/>
        </w:rPr>
      </w:pPr>
      <w:r>
        <w:rPr>
          <w:rFonts w:ascii="Tw Cen MT" w:hAnsi="Tw Cen MT"/>
        </w:rPr>
        <w:t xml:space="preserve">Thanks so much for the opportunity to stage your property.  Please </w:t>
      </w:r>
      <w:r w:rsidR="001E67F6">
        <w:rPr>
          <w:rFonts w:ascii="Tw Cen MT" w:hAnsi="Tw Cen MT"/>
        </w:rPr>
        <w:t>do not</w:t>
      </w:r>
      <w:r>
        <w:rPr>
          <w:rFonts w:ascii="Tw Cen MT" w:hAnsi="Tw Cen MT"/>
        </w:rPr>
        <w:t xml:space="preserve"> hesitate to contact us with any questions or concerns.  In order to move forward with our </w:t>
      </w:r>
      <w:r w:rsidR="001E67F6">
        <w:rPr>
          <w:rFonts w:ascii="Tw Cen MT" w:hAnsi="Tw Cen MT"/>
        </w:rPr>
        <w:t>services,</w:t>
      </w:r>
      <w:r>
        <w:rPr>
          <w:rFonts w:ascii="Tw Cen MT" w:hAnsi="Tw Cen MT"/>
        </w:rPr>
        <w:t xml:space="preserve"> we require a signed Staging Agreement which will secure the date for staging your property.</w:t>
      </w:r>
    </w:p>
    <w:tbl>
      <w:tblPr>
        <w:tblpPr w:leftFromText="180" w:rightFromText="180" w:vertAnchor="text" w:horzAnchor="margin" w:tblpXSpec="center" w:tblpY="137"/>
        <w:tblW w:w="11017" w:type="dxa"/>
        <w:tblLayout w:type="fixed"/>
        <w:tblCellMar>
          <w:left w:w="10" w:type="dxa"/>
          <w:right w:w="216" w:type="dxa"/>
        </w:tblCellMar>
        <w:tblLook w:val="04A0" w:firstRow="1" w:lastRow="0" w:firstColumn="1" w:lastColumn="0" w:noHBand="0" w:noVBand="1"/>
      </w:tblPr>
      <w:tblGrid>
        <w:gridCol w:w="5310"/>
        <w:gridCol w:w="246"/>
        <w:gridCol w:w="5461"/>
      </w:tblGrid>
      <w:tr w:rsidR="00C542B8" w14:paraId="5FDEBBF6" w14:textId="77777777" w:rsidTr="00C542B8">
        <w:trPr>
          <w:trHeight w:val="3742"/>
        </w:trPr>
        <w:tc>
          <w:tcPr>
            <w:tcW w:w="5310" w:type="dxa"/>
            <w:tcBorders>
              <w:top w:val="single" w:sz="4" w:space="0" w:color="auto"/>
              <w:bottom w:val="single" w:sz="4" w:space="0" w:color="auto"/>
              <w:right w:val="single" w:sz="4" w:space="0" w:color="auto"/>
            </w:tcBorders>
            <w:tcMar>
              <w:top w:w="55" w:type="dxa"/>
              <w:left w:w="55" w:type="dxa"/>
              <w:bottom w:w="55" w:type="dxa"/>
              <w:right w:w="55" w:type="dxa"/>
            </w:tcMar>
          </w:tcPr>
          <w:p w14:paraId="1AE9029A" w14:textId="77777777" w:rsidR="00C542B8" w:rsidRDefault="00C542B8" w:rsidP="00C542B8">
            <w:pPr>
              <w:pStyle w:val="TableContents"/>
              <w:rPr>
                <w:rFonts w:ascii="Tw Cen MT" w:hAnsi="Tw Cen MT"/>
                <w:b/>
                <w:bCs/>
              </w:rPr>
            </w:pPr>
            <w:r>
              <w:rPr>
                <w:rFonts w:ascii="Tw Cen MT" w:hAnsi="Tw Cen MT"/>
                <w:b/>
                <w:bCs/>
              </w:rPr>
              <w:t>Main Areas to be Transformed:</w:t>
            </w:r>
          </w:p>
          <w:p w14:paraId="7815896F" w14:textId="77777777" w:rsidR="00C542B8" w:rsidRDefault="00C542B8" w:rsidP="00C542B8">
            <w:pPr>
              <w:pStyle w:val="TableContents"/>
              <w:rPr>
                <w:rFonts w:ascii="Tw Cen MT" w:hAnsi="Tw Cen MT"/>
                <w:b/>
                <w:bCs/>
              </w:rPr>
            </w:pPr>
          </w:p>
          <w:p w14:paraId="6D467011" w14:textId="77777777" w:rsidR="00C542B8" w:rsidRDefault="00C542B8" w:rsidP="00C542B8">
            <w:pPr>
              <w:pStyle w:val="TableContents"/>
              <w:rPr>
                <w:rFonts w:ascii="Tw Cen MT" w:hAnsi="Tw Cen MT"/>
              </w:rPr>
            </w:pPr>
            <w:r>
              <w:rPr>
                <w:rFonts w:ascii="Tw Cen MT" w:hAnsi="Tw Cen MT"/>
              </w:rPr>
              <w:t>Entry</w:t>
            </w:r>
          </w:p>
          <w:p w14:paraId="4246290C" w14:textId="77777777" w:rsidR="00C542B8" w:rsidRDefault="00C542B8" w:rsidP="00C542B8">
            <w:pPr>
              <w:pStyle w:val="TableContents"/>
              <w:rPr>
                <w:rFonts w:ascii="Tw Cen MT" w:hAnsi="Tw Cen MT"/>
              </w:rPr>
            </w:pPr>
            <w:r>
              <w:rPr>
                <w:rFonts w:ascii="Tw Cen MT" w:hAnsi="Tw Cen MT"/>
              </w:rPr>
              <w:t>Front Living Area</w:t>
            </w:r>
          </w:p>
          <w:p w14:paraId="18A1885B" w14:textId="77777777" w:rsidR="00C542B8" w:rsidRDefault="00C542B8" w:rsidP="00C542B8">
            <w:pPr>
              <w:pStyle w:val="TableContents"/>
              <w:rPr>
                <w:rFonts w:ascii="Tw Cen MT" w:hAnsi="Tw Cen MT"/>
              </w:rPr>
            </w:pPr>
            <w:r>
              <w:rPr>
                <w:rFonts w:ascii="Tw Cen MT" w:hAnsi="Tw Cen MT"/>
              </w:rPr>
              <w:t>Dining Room</w:t>
            </w:r>
          </w:p>
          <w:p w14:paraId="07F8BA1E" w14:textId="77777777" w:rsidR="00C542B8" w:rsidRDefault="00C542B8" w:rsidP="00C542B8">
            <w:pPr>
              <w:pStyle w:val="TableContents"/>
              <w:rPr>
                <w:rFonts w:ascii="Tw Cen MT" w:hAnsi="Tw Cen MT"/>
              </w:rPr>
            </w:pPr>
            <w:r>
              <w:rPr>
                <w:rFonts w:ascii="Tw Cen MT" w:hAnsi="Tw Cen MT"/>
              </w:rPr>
              <w:t>Kitchen</w:t>
            </w:r>
          </w:p>
          <w:p w14:paraId="6C08C712" w14:textId="77777777" w:rsidR="00C542B8" w:rsidRDefault="00C542B8" w:rsidP="00C542B8">
            <w:pPr>
              <w:pStyle w:val="TableContents"/>
              <w:rPr>
                <w:rFonts w:ascii="Tw Cen MT" w:hAnsi="Tw Cen MT"/>
              </w:rPr>
            </w:pPr>
            <w:r>
              <w:rPr>
                <w:rFonts w:ascii="Tw Cen MT" w:hAnsi="Tw Cen MT"/>
              </w:rPr>
              <w:t>Kitchen Nook</w:t>
            </w:r>
          </w:p>
          <w:p w14:paraId="27C9E3E5" w14:textId="77777777" w:rsidR="00C542B8" w:rsidRDefault="00C542B8" w:rsidP="00C542B8">
            <w:pPr>
              <w:pStyle w:val="TableContents"/>
              <w:rPr>
                <w:rFonts w:ascii="Tw Cen MT" w:hAnsi="Tw Cen MT"/>
              </w:rPr>
            </w:pPr>
            <w:r>
              <w:rPr>
                <w:rFonts w:ascii="Tw Cen MT" w:hAnsi="Tw Cen MT"/>
              </w:rPr>
              <w:t>Main Bathroom</w:t>
            </w:r>
          </w:p>
          <w:p w14:paraId="07388077" w14:textId="77777777" w:rsidR="00C542B8" w:rsidRDefault="00C542B8" w:rsidP="00C542B8">
            <w:pPr>
              <w:pStyle w:val="TableContents"/>
              <w:rPr>
                <w:rFonts w:ascii="Tw Cen MT" w:hAnsi="Tw Cen MT"/>
              </w:rPr>
            </w:pPr>
            <w:r>
              <w:rPr>
                <w:rFonts w:ascii="Tw Cen MT" w:hAnsi="Tw Cen MT"/>
              </w:rPr>
              <w:t>Master Bedroom</w:t>
            </w:r>
          </w:p>
          <w:p w14:paraId="1DA51885" w14:textId="77777777" w:rsidR="00C542B8" w:rsidRDefault="00C542B8" w:rsidP="00C542B8">
            <w:pPr>
              <w:pStyle w:val="TableContents"/>
              <w:rPr>
                <w:rFonts w:ascii="Tw Cen MT" w:hAnsi="Tw Cen MT"/>
              </w:rPr>
            </w:pPr>
            <w:r>
              <w:rPr>
                <w:rFonts w:ascii="Tw Cen MT" w:hAnsi="Tw Cen MT"/>
              </w:rPr>
              <w:t>Master Bathroom</w:t>
            </w:r>
          </w:p>
          <w:p w14:paraId="61AA5E23" w14:textId="7DC4672D" w:rsidR="00C542B8" w:rsidRDefault="00C542B8" w:rsidP="00C542B8">
            <w:pPr>
              <w:pStyle w:val="TableContents"/>
              <w:rPr>
                <w:rFonts w:ascii="Tw Cen MT" w:hAnsi="Tw Cen MT"/>
              </w:rPr>
            </w:pPr>
            <w:r>
              <w:rPr>
                <w:rFonts w:ascii="Tw Cen MT" w:hAnsi="Tw Cen MT"/>
              </w:rPr>
              <w:t>2</w:t>
            </w:r>
            <w:r w:rsidR="008235ED">
              <w:rPr>
                <w:rFonts w:ascii="Tw Cen MT" w:hAnsi="Tw Cen MT"/>
              </w:rPr>
              <w:t>nd</w:t>
            </w:r>
            <w:r>
              <w:rPr>
                <w:rFonts w:ascii="Tw Cen MT" w:hAnsi="Tw Cen MT"/>
              </w:rPr>
              <w:t xml:space="preserve"> Bedroom</w:t>
            </w:r>
          </w:p>
          <w:p w14:paraId="5FEA4AEA" w14:textId="77777777" w:rsidR="00C542B8" w:rsidRDefault="00C542B8" w:rsidP="00C542B8">
            <w:pPr>
              <w:pStyle w:val="TableContents"/>
              <w:rPr>
                <w:rFonts w:ascii="Tw Cen MT" w:hAnsi="Tw Cen MT"/>
              </w:rPr>
            </w:pPr>
            <w:r>
              <w:rPr>
                <w:rFonts w:ascii="Tw Cen MT" w:hAnsi="Tw Cen MT"/>
              </w:rPr>
              <w:t>Loft</w:t>
            </w:r>
          </w:p>
          <w:p w14:paraId="3A48E9EB" w14:textId="77777777" w:rsidR="00C542B8" w:rsidRDefault="00C542B8" w:rsidP="00C542B8">
            <w:pPr>
              <w:pStyle w:val="TableContents"/>
              <w:rPr>
                <w:rFonts w:ascii="Tw Cen MT" w:hAnsi="Tw Cen MT"/>
              </w:rPr>
            </w:pPr>
          </w:p>
          <w:p w14:paraId="1A42C054" w14:textId="77777777" w:rsidR="00C542B8" w:rsidRDefault="00C542B8" w:rsidP="00C542B8">
            <w:pPr>
              <w:pStyle w:val="TableContents"/>
              <w:rPr>
                <w:rFonts w:ascii="Tw Cen MT" w:hAnsi="Tw Cen MT"/>
                <w:b/>
                <w:bCs/>
              </w:rPr>
            </w:pPr>
            <w:r>
              <w:rPr>
                <w:rFonts w:ascii="Tw Cen MT" w:hAnsi="Tw Cen MT"/>
                <w:b/>
                <w:bCs/>
              </w:rPr>
              <w:t>Staging Investment based on the luxury level, scale and size of the home is: $3,700.00</w:t>
            </w:r>
          </w:p>
          <w:p w14:paraId="0DD915D5" w14:textId="77777777" w:rsidR="00C542B8" w:rsidRDefault="00C542B8" w:rsidP="00C542B8">
            <w:pPr>
              <w:pStyle w:val="TableContents"/>
              <w:rPr>
                <w:rFonts w:ascii="Tw Cen MT" w:hAnsi="Tw Cen MT"/>
                <w:b/>
                <w:bCs/>
              </w:rPr>
            </w:pPr>
          </w:p>
          <w:p w14:paraId="5C275283" w14:textId="77777777" w:rsidR="00C542B8" w:rsidRDefault="00C542B8" w:rsidP="00C542B8">
            <w:pPr>
              <w:pStyle w:val="TableContents"/>
              <w:rPr>
                <w:rFonts w:ascii="Tw Cen MT" w:hAnsi="Tw Cen MT"/>
              </w:rPr>
            </w:pPr>
            <w:r>
              <w:rPr>
                <w:rFonts w:ascii="Tw Cen MT" w:hAnsi="Tw Cen MT"/>
              </w:rPr>
              <w:t>$3,700.00 is the total investment for staging design, rental furniture, installation and the initial 90 days rent, as well as removal of furnishings.  Payment is due at the signing of the Staging Agreement.</w:t>
            </w:r>
          </w:p>
          <w:p w14:paraId="6B954607" w14:textId="77777777" w:rsidR="00C542B8" w:rsidRDefault="00C542B8" w:rsidP="00C542B8">
            <w:pPr>
              <w:pStyle w:val="TableContents"/>
              <w:rPr>
                <w:rFonts w:ascii="Tw Cen MT" w:hAnsi="Tw Cen MT"/>
              </w:rPr>
            </w:pPr>
          </w:p>
          <w:p w14:paraId="68C32B06" w14:textId="77777777" w:rsidR="00C542B8" w:rsidRDefault="00C542B8" w:rsidP="00C542B8">
            <w:pPr>
              <w:pStyle w:val="TableContents"/>
              <w:rPr>
                <w:rFonts w:ascii="Tw Cen MT" w:hAnsi="Tw Cen MT"/>
              </w:rPr>
            </w:pPr>
            <w:r>
              <w:rPr>
                <w:rFonts w:ascii="Tw Cen MT" w:hAnsi="Tw Cen MT"/>
              </w:rPr>
              <w:t>A monthly renewal rate of $740.00 will be automatically billed to the card on file and will continue until you terminate the Staging Agreement.</w:t>
            </w:r>
          </w:p>
          <w:p w14:paraId="678F9584" w14:textId="34743287" w:rsidR="006D0F5A" w:rsidRDefault="006D0F5A" w:rsidP="00C542B8">
            <w:pPr>
              <w:pStyle w:val="TableContents"/>
              <w:rPr>
                <w:rFonts w:ascii="Tw Cen MT" w:hAnsi="Tw Cen MT"/>
              </w:rPr>
            </w:pPr>
          </w:p>
        </w:tc>
        <w:tc>
          <w:tcPr>
            <w:tcW w:w="246" w:type="dxa"/>
            <w:tcBorders>
              <w:top w:val="single" w:sz="4" w:space="0" w:color="auto"/>
              <w:bottom w:val="single" w:sz="4" w:space="0" w:color="auto"/>
            </w:tcBorders>
          </w:tcPr>
          <w:p w14:paraId="0A67C81E" w14:textId="77777777" w:rsidR="00C542B8" w:rsidRDefault="00C542B8" w:rsidP="00C542B8">
            <w:pPr>
              <w:pStyle w:val="TableContents"/>
              <w:rPr>
                <w:rFonts w:ascii="Tw Cen MT" w:hAnsi="Tw Cen MT"/>
                <w:b/>
                <w:bCs/>
              </w:rPr>
            </w:pPr>
          </w:p>
        </w:tc>
        <w:tc>
          <w:tcPr>
            <w:tcW w:w="5461" w:type="dxa"/>
            <w:tcBorders>
              <w:top w:val="single" w:sz="4" w:space="0" w:color="auto"/>
              <w:bottom w:val="single" w:sz="4" w:space="0" w:color="auto"/>
            </w:tcBorders>
            <w:tcMar>
              <w:top w:w="55" w:type="dxa"/>
              <w:left w:w="55" w:type="dxa"/>
              <w:bottom w:w="55" w:type="dxa"/>
              <w:right w:w="55" w:type="dxa"/>
            </w:tcMar>
          </w:tcPr>
          <w:p w14:paraId="4A74CE3C" w14:textId="77777777" w:rsidR="00C542B8" w:rsidRDefault="00C542B8" w:rsidP="00C542B8">
            <w:pPr>
              <w:pStyle w:val="TableContents"/>
              <w:rPr>
                <w:rFonts w:ascii="Tw Cen MT" w:hAnsi="Tw Cen MT"/>
              </w:rPr>
            </w:pPr>
            <w:r>
              <w:rPr>
                <w:rFonts w:ascii="Tw Cen MT" w:hAnsi="Tw Cen MT"/>
                <w:b/>
                <w:bCs/>
              </w:rPr>
              <w:t xml:space="preserve">  Staging Service Includes:</w:t>
            </w:r>
          </w:p>
          <w:p w14:paraId="7E18BB7F" w14:textId="77777777" w:rsidR="00C542B8" w:rsidRDefault="00C542B8" w:rsidP="00C542B8">
            <w:pPr>
              <w:pStyle w:val="TableContents"/>
              <w:rPr>
                <w:rFonts w:ascii="Tw Cen MT" w:hAnsi="Tw Cen MT"/>
              </w:rPr>
            </w:pPr>
          </w:p>
          <w:p w14:paraId="15DDDFF7" w14:textId="50F8DEB0" w:rsidR="00C542B8" w:rsidRDefault="00C542B8" w:rsidP="00C542B8">
            <w:pPr>
              <w:pStyle w:val="TableContents"/>
              <w:rPr>
                <w:rFonts w:ascii="Tw Cen MT" w:hAnsi="Tw Cen MT"/>
              </w:rPr>
            </w:pPr>
            <w:r>
              <w:rPr>
                <w:rFonts w:ascii="Tw Cen MT" w:hAnsi="Tw Cen MT"/>
              </w:rPr>
              <w:t>Staging Design</w:t>
            </w:r>
          </w:p>
          <w:p w14:paraId="7BE5BEB3" w14:textId="2F32F54A" w:rsidR="00C542B8" w:rsidRDefault="00C542B8" w:rsidP="00C542B8">
            <w:pPr>
              <w:pStyle w:val="TableContents"/>
              <w:rPr>
                <w:rFonts w:ascii="Tw Cen MT" w:hAnsi="Tw Cen MT"/>
              </w:rPr>
            </w:pPr>
            <w:r>
              <w:rPr>
                <w:rFonts w:ascii="Tw Cen MT" w:hAnsi="Tw Cen MT"/>
              </w:rPr>
              <w:t>Selecting Furnishings</w:t>
            </w:r>
          </w:p>
          <w:p w14:paraId="37D1CD2B" w14:textId="2C7C14B4" w:rsidR="00C542B8" w:rsidRDefault="00C542B8" w:rsidP="00C542B8">
            <w:pPr>
              <w:pStyle w:val="TableContents"/>
              <w:rPr>
                <w:rFonts w:ascii="Tw Cen MT" w:hAnsi="Tw Cen MT"/>
              </w:rPr>
            </w:pPr>
            <w:r>
              <w:rPr>
                <w:rFonts w:ascii="Tw Cen MT" w:hAnsi="Tw Cen MT"/>
              </w:rPr>
              <w:t>Packing and Loading</w:t>
            </w:r>
          </w:p>
          <w:p w14:paraId="06B8B315" w14:textId="25BE7AB2" w:rsidR="00C542B8" w:rsidRDefault="00C542B8" w:rsidP="00C542B8">
            <w:pPr>
              <w:pStyle w:val="TableContents"/>
              <w:rPr>
                <w:rFonts w:ascii="Tw Cen MT" w:hAnsi="Tw Cen MT"/>
              </w:rPr>
            </w:pPr>
            <w:r>
              <w:rPr>
                <w:rFonts w:ascii="Tw Cen MT" w:hAnsi="Tw Cen MT"/>
              </w:rPr>
              <w:t>Furnishings Delivery</w:t>
            </w:r>
          </w:p>
          <w:p w14:paraId="76BAD28A" w14:textId="5AF28AAA" w:rsidR="00C542B8" w:rsidRDefault="00C542B8" w:rsidP="00C542B8">
            <w:pPr>
              <w:pStyle w:val="TableContents"/>
              <w:rPr>
                <w:rFonts w:ascii="Tw Cen MT" w:hAnsi="Tw Cen MT"/>
              </w:rPr>
            </w:pPr>
            <w:r>
              <w:rPr>
                <w:rFonts w:ascii="Tw Cen MT" w:hAnsi="Tw Cen MT"/>
              </w:rPr>
              <w:t>Staging Installation</w:t>
            </w:r>
          </w:p>
          <w:p w14:paraId="1C5F6679" w14:textId="12EAF62B" w:rsidR="00C542B8" w:rsidRDefault="00C542B8" w:rsidP="00C542B8">
            <w:pPr>
              <w:pStyle w:val="TableContents"/>
              <w:rPr>
                <w:rFonts w:ascii="Tw Cen MT" w:hAnsi="Tw Cen MT"/>
              </w:rPr>
            </w:pPr>
            <w:r>
              <w:rPr>
                <w:rFonts w:ascii="Tw Cen MT" w:hAnsi="Tw Cen MT"/>
              </w:rPr>
              <w:t>Includes furniture, artwork and accessories</w:t>
            </w:r>
          </w:p>
          <w:p w14:paraId="495E92F0" w14:textId="23B97237" w:rsidR="00C542B8" w:rsidRDefault="00C542B8" w:rsidP="00C542B8">
            <w:pPr>
              <w:pStyle w:val="TableContents"/>
              <w:rPr>
                <w:rFonts w:ascii="Tw Cen MT" w:hAnsi="Tw Cen MT"/>
              </w:rPr>
            </w:pPr>
            <w:r>
              <w:rPr>
                <w:rFonts w:ascii="Tw Cen MT" w:hAnsi="Tw Cen MT"/>
              </w:rPr>
              <w:t>De-Staging and Inventory Pick-up</w:t>
            </w:r>
          </w:p>
          <w:p w14:paraId="4C37DF5F" w14:textId="77777777" w:rsidR="00C542B8" w:rsidRDefault="00C542B8" w:rsidP="00C542B8">
            <w:pPr>
              <w:pStyle w:val="TableContents"/>
              <w:rPr>
                <w:rFonts w:ascii="Tw Cen MT" w:hAnsi="Tw Cen MT"/>
              </w:rPr>
            </w:pPr>
          </w:p>
          <w:p w14:paraId="168125B7" w14:textId="77777777" w:rsidR="00C542B8" w:rsidRDefault="00C542B8" w:rsidP="00C542B8">
            <w:pPr>
              <w:pStyle w:val="TableContents"/>
              <w:rPr>
                <w:rFonts w:ascii="Tw Cen MT" w:hAnsi="Tw Cen MT"/>
              </w:rPr>
            </w:pPr>
            <w:r>
              <w:rPr>
                <w:rFonts w:ascii="Tw Cen MT" w:hAnsi="Tw Cen MT"/>
              </w:rPr>
              <w:t>We are expert designers who choose furnishing that             complement the home, as well as appeal to the lifestyle of the buyer who will most likely be interested in the property.</w:t>
            </w:r>
          </w:p>
          <w:p w14:paraId="7390AE07" w14:textId="77777777" w:rsidR="00C542B8" w:rsidRDefault="00C542B8" w:rsidP="00C542B8">
            <w:pPr>
              <w:pStyle w:val="TableContents"/>
              <w:rPr>
                <w:rFonts w:ascii="Tw Cen MT" w:hAnsi="Tw Cen MT"/>
              </w:rPr>
            </w:pPr>
          </w:p>
          <w:p w14:paraId="10712680" w14:textId="68830CBC" w:rsidR="00C542B8" w:rsidRPr="00EE3132" w:rsidRDefault="00C542B8" w:rsidP="00C542B8">
            <w:pPr>
              <w:pStyle w:val="TableContents"/>
              <w:rPr>
                <w:rFonts w:ascii="Tw Cen MT" w:hAnsi="Tw Cen MT"/>
              </w:rPr>
            </w:pPr>
            <w:r>
              <w:rPr>
                <w:rFonts w:ascii="Tw Cen MT" w:hAnsi="Tw Cen MT"/>
              </w:rPr>
              <w:t xml:space="preserve">When the home seller decides to proceed, the Inspired Eye Design Consultant meets with the furniture rental company that best fits this project.  We have pre-arranged relationships with furniture rental companies that serve different purposes, depending on the type of home.  We then pick each piece that best suits the home and the budget. </w:t>
            </w:r>
            <w:r w:rsidRPr="00EE3132">
              <w:rPr>
                <w:rFonts w:ascii="Tw Cen MT" w:hAnsi="Tw Cen MT"/>
                <w:i/>
                <w:iCs/>
              </w:rPr>
              <w:t>(The seller is responsible for paying for the furniture rental directly.)</w:t>
            </w:r>
          </w:p>
        </w:tc>
      </w:tr>
    </w:tbl>
    <w:p w14:paraId="207315B4" w14:textId="77777777" w:rsidR="00D43DDD" w:rsidRDefault="00D43DDD">
      <w:pPr>
        <w:pStyle w:val="Standard"/>
        <w:rPr>
          <w:rFonts w:ascii="Tw Cen MT" w:hAnsi="Tw Cen MT"/>
        </w:rPr>
      </w:pPr>
    </w:p>
    <w:p w14:paraId="77E5105A" w14:textId="6A398C49" w:rsidR="00D43DDD" w:rsidRDefault="00C219E4">
      <w:pPr>
        <w:pStyle w:val="Standard"/>
        <w:rPr>
          <w:rFonts w:ascii="Tw Cen MT" w:hAnsi="Tw Cen MT"/>
        </w:rPr>
      </w:pPr>
      <w:r>
        <w:rPr>
          <w:rFonts w:ascii="Tw Cen MT" w:hAnsi="Tw Cen MT"/>
        </w:rPr>
        <w:t>Each home is different and has unique staging needs, so stager reserves the right to add/remove pieces above to creatively market the space for maximum staging impact.  Proposal price is good for 30 days.</w:t>
      </w:r>
    </w:p>
    <w:p w14:paraId="3CC7C587" w14:textId="77777777" w:rsidR="001E67F6" w:rsidRDefault="001E67F6">
      <w:pPr>
        <w:pStyle w:val="Standard"/>
        <w:rPr>
          <w:rFonts w:ascii="Tw Cen MT" w:hAnsi="Tw Cen MT"/>
        </w:rPr>
      </w:pPr>
    </w:p>
    <w:p w14:paraId="29B14734" w14:textId="2D938F1E" w:rsidR="00D43DDD" w:rsidRDefault="00C219E4">
      <w:pPr>
        <w:pStyle w:val="Standard"/>
        <w:rPr>
          <w:rFonts w:ascii="Tw Cen MT" w:hAnsi="Tw Cen MT"/>
          <w:b/>
          <w:bCs/>
          <w:u w:val="single"/>
        </w:rPr>
      </w:pPr>
      <w:r>
        <w:rPr>
          <w:rFonts w:ascii="Tw Cen MT" w:hAnsi="Tw Cen MT"/>
          <w:b/>
          <w:bCs/>
          <w:u w:val="single"/>
        </w:rPr>
        <w:t xml:space="preserve">Home Must Be “Stage Ready” Upon Arrival or a Fee Will Be </w:t>
      </w:r>
      <w:r w:rsidR="001E67F6">
        <w:rPr>
          <w:rFonts w:ascii="Tw Cen MT" w:hAnsi="Tw Cen MT"/>
          <w:b/>
          <w:bCs/>
          <w:u w:val="single"/>
        </w:rPr>
        <w:t>Assessed</w:t>
      </w:r>
      <w:r>
        <w:rPr>
          <w:rFonts w:ascii="Tw Cen MT" w:hAnsi="Tw Cen MT"/>
          <w:b/>
          <w:bCs/>
          <w:u w:val="single"/>
        </w:rPr>
        <w:t xml:space="preserve"> and the Appointment Rescheduled</w:t>
      </w:r>
    </w:p>
    <w:p w14:paraId="11056F22" w14:textId="0DE419E7" w:rsidR="00D43DDD" w:rsidRPr="008235ED" w:rsidRDefault="00C219E4">
      <w:pPr>
        <w:pStyle w:val="Standard"/>
        <w:rPr>
          <w:rFonts w:ascii="Tw Cen MT" w:hAnsi="Tw Cen MT"/>
          <w:sz w:val="22"/>
          <w:szCs w:val="22"/>
        </w:rPr>
      </w:pPr>
      <w:r w:rsidRPr="008235ED">
        <w:rPr>
          <w:rFonts w:ascii="Tw Cen MT" w:hAnsi="Tw Cen MT"/>
          <w:sz w:val="22"/>
          <w:szCs w:val="22"/>
        </w:rPr>
        <w:t xml:space="preserve">**Stage Ready includes completion of construction, painting, repair or remodeling work, and the house must be </w:t>
      </w:r>
      <w:r w:rsidR="001E67F6" w:rsidRPr="008235ED">
        <w:rPr>
          <w:rFonts w:ascii="Tw Cen MT" w:hAnsi="Tw Cen MT"/>
          <w:sz w:val="22"/>
          <w:szCs w:val="22"/>
        </w:rPr>
        <w:t>professionally</w:t>
      </w:r>
      <w:r w:rsidRPr="008235ED">
        <w:rPr>
          <w:rFonts w:ascii="Tw Cen MT" w:hAnsi="Tw Cen MT"/>
          <w:sz w:val="22"/>
          <w:szCs w:val="22"/>
        </w:rPr>
        <w:t xml:space="preserve"> cleaned (including all </w:t>
      </w:r>
      <w:r w:rsidR="001E67F6" w:rsidRPr="008235ED">
        <w:rPr>
          <w:rFonts w:ascii="Tw Cen MT" w:hAnsi="Tw Cen MT"/>
          <w:sz w:val="22"/>
          <w:szCs w:val="22"/>
        </w:rPr>
        <w:t>surfaces</w:t>
      </w:r>
      <w:r w:rsidRPr="008235ED">
        <w:rPr>
          <w:rFonts w:ascii="Tw Cen MT" w:hAnsi="Tw Cen MT"/>
          <w:sz w:val="22"/>
          <w:szCs w:val="22"/>
        </w:rPr>
        <w:t xml:space="preserve">, carpeting and windows professionally cleaned) and removal of </w:t>
      </w:r>
      <w:r w:rsidR="001E67F6" w:rsidRPr="008235ED">
        <w:rPr>
          <w:rFonts w:ascii="Tw Cen MT" w:hAnsi="Tw Cen MT"/>
          <w:sz w:val="22"/>
          <w:szCs w:val="22"/>
        </w:rPr>
        <w:t>unnecessary</w:t>
      </w:r>
      <w:r w:rsidRPr="008235ED">
        <w:rPr>
          <w:rFonts w:ascii="Tw Cen MT" w:hAnsi="Tw Cen MT"/>
          <w:sz w:val="22"/>
          <w:szCs w:val="22"/>
        </w:rPr>
        <w:t xml:space="preserve"> items prior to the agreed upon staging date.</w:t>
      </w:r>
    </w:p>
    <w:p w14:paraId="47E80693" w14:textId="77777777" w:rsidR="00D43DDD" w:rsidRPr="008235ED" w:rsidRDefault="00C219E4">
      <w:pPr>
        <w:pStyle w:val="Standard"/>
        <w:rPr>
          <w:rFonts w:ascii="Tw Cen MT" w:hAnsi="Tw Cen MT"/>
          <w:sz w:val="22"/>
          <w:szCs w:val="22"/>
        </w:rPr>
      </w:pPr>
      <w:r w:rsidRPr="008235ED">
        <w:rPr>
          <w:rFonts w:ascii="Tw Cen MT" w:hAnsi="Tw Cen MT"/>
          <w:sz w:val="22"/>
          <w:szCs w:val="22"/>
        </w:rPr>
        <w:t>**It is the responsibility of the Customer to have electricity, working heat/air and running water available.</w:t>
      </w:r>
    </w:p>
    <w:p w14:paraId="4659A1E0" w14:textId="75925360" w:rsidR="00D43DDD" w:rsidRPr="008235ED" w:rsidRDefault="00C219E4">
      <w:pPr>
        <w:pStyle w:val="Standard"/>
        <w:rPr>
          <w:rFonts w:ascii="Tw Cen MT" w:hAnsi="Tw Cen MT"/>
          <w:sz w:val="22"/>
          <w:szCs w:val="22"/>
        </w:rPr>
      </w:pPr>
      <w:r w:rsidRPr="008235ED">
        <w:rPr>
          <w:rFonts w:ascii="Tw Cen MT" w:hAnsi="Tw Cen MT"/>
          <w:sz w:val="22"/>
          <w:szCs w:val="22"/>
        </w:rPr>
        <w:t>**For safety and efficiency, no one can be at property during staging without approval.  Pets cannot be present without approval.</w:t>
      </w:r>
    </w:p>
    <w:sectPr w:rsidR="00D43DDD" w:rsidRPr="008235ED" w:rsidSect="00C542B8">
      <w:headerReference w:type="default" r:id="rId6"/>
      <w:footerReference w:type="default" r:id="rId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3C3D1" w14:textId="77777777" w:rsidR="00F2237A" w:rsidRDefault="00F2237A">
      <w:r>
        <w:separator/>
      </w:r>
    </w:p>
  </w:endnote>
  <w:endnote w:type="continuationSeparator" w:id="0">
    <w:p w14:paraId="236ED62F" w14:textId="77777777" w:rsidR="00F2237A" w:rsidRDefault="00F2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F7688" w14:textId="0DEA2A04" w:rsidR="005A52E5" w:rsidRPr="008A6039" w:rsidRDefault="005A52E5" w:rsidP="005A52E5">
    <w:pPr>
      <w:pStyle w:val="Footer"/>
      <w:jc w:val="center"/>
      <w:rPr>
        <w:rFonts w:ascii="Arial" w:hAnsi="Arial" w:cs="Arial"/>
        <w:sz w:val="22"/>
        <w:szCs w:val="22"/>
      </w:rPr>
    </w:pPr>
    <w:bookmarkStart w:id="1" w:name="_Hlk43021752"/>
    <w:bookmarkStart w:id="2" w:name="_Hlk43021753"/>
    <w:r>
      <w:rPr>
        <w:rFonts w:ascii="Arial" w:hAnsi="Arial" w:cs="Arial"/>
        <w:sz w:val="22"/>
        <w:szCs w:val="22"/>
      </w:rPr>
      <w:t>904</w:t>
    </w:r>
    <w:r w:rsidRPr="008A6039">
      <w:rPr>
        <w:rFonts w:ascii="Arial" w:hAnsi="Arial" w:cs="Arial"/>
        <w:sz w:val="22"/>
        <w:szCs w:val="22"/>
      </w:rPr>
      <w:t>.</w:t>
    </w:r>
    <w:r>
      <w:rPr>
        <w:rFonts w:ascii="Arial" w:hAnsi="Arial" w:cs="Arial"/>
        <w:sz w:val="22"/>
        <w:szCs w:val="22"/>
      </w:rPr>
      <w:t>439</w:t>
    </w:r>
    <w:r w:rsidRPr="008A6039">
      <w:rPr>
        <w:rFonts w:ascii="Arial" w:hAnsi="Arial" w:cs="Arial"/>
        <w:sz w:val="22"/>
        <w:szCs w:val="22"/>
      </w:rPr>
      <w:t>.</w:t>
    </w:r>
    <w:r>
      <w:rPr>
        <w:rFonts w:ascii="Arial" w:hAnsi="Arial" w:cs="Arial"/>
        <w:sz w:val="22"/>
        <w:szCs w:val="22"/>
      </w:rPr>
      <w:t xml:space="preserve">3079  </w:t>
    </w:r>
    <w:r>
      <w:rPr>
        <w:rFonts w:ascii="Arial" w:hAnsi="Arial" w:cs="Arial"/>
        <w:noProof/>
        <w:sz w:val="22"/>
        <w:szCs w:val="22"/>
      </w:rPr>
      <w:drawing>
        <wp:inline distT="0" distB="0" distL="0" distR="0" wp14:anchorId="228C96BE" wp14:editId="6356A44E">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hAnsi="Arial" w:cs="Arial"/>
        <w:sz w:val="22"/>
        <w:szCs w:val="22"/>
      </w:rPr>
      <w:t xml:space="preserve">   www.inspiredeyedesign.com  </w:t>
    </w:r>
    <w:r>
      <w:rPr>
        <w:rFonts w:ascii="Arial" w:hAnsi="Arial" w:cs="Arial"/>
        <w:noProof/>
        <w:sz w:val="22"/>
        <w:szCs w:val="22"/>
      </w:rPr>
      <w:drawing>
        <wp:inline distT="0" distB="0" distL="0" distR="0" wp14:anchorId="067FB13F" wp14:editId="722A4C5A">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hAnsi="Arial" w:cs="Arial"/>
        <w:sz w:val="22"/>
        <w:szCs w:val="22"/>
      </w:rPr>
      <w:t xml:space="preserve">  angela@inspiredeyedesign.com</w:t>
    </w:r>
    <w:bookmarkEnd w:id="1"/>
    <w:bookmarkEnd w:id="2"/>
  </w:p>
  <w:p w14:paraId="1E8662A7" w14:textId="77777777" w:rsidR="005A52E5" w:rsidRDefault="005A5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486B6" w14:textId="77777777" w:rsidR="00F2237A" w:rsidRDefault="00F2237A">
      <w:r>
        <w:rPr>
          <w:color w:val="000000"/>
        </w:rPr>
        <w:separator/>
      </w:r>
    </w:p>
  </w:footnote>
  <w:footnote w:type="continuationSeparator" w:id="0">
    <w:p w14:paraId="0C49197A" w14:textId="77777777" w:rsidR="00F2237A" w:rsidRDefault="00F22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493C" w14:textId="1356AE90" w:rsidR="005A52E5" w:rsidRPr="006233AD" w:rsidRDefault="005A52E5" w:rsidP="005A52E5">
    <w:pPr>
      <w:pStyle w:val="Header"/>
      <w:jc w:val="center"/>
      <w:rPr>
        <w:rFonts w:ascii="Arial" w:hAnsi="Arial" w:cs="Arial"/>
        <w:sz w:val="52"/>
        <w:szCs w:val="52"/>
      </w:rPr>
    </w:pPr>
    <w:bookmarkStart w:id="0" w:name="_Hlk43021301"/>
    <w:r>
      <w:rPr>
        <w:rFonts w:cs="Times New Roman"/>
        <w:noProof/>
        <w:szCs w:val="24"/>
      </w:rPr>
      <w:drawing>
        <wp:anchor distT="0" distB="0" distL="114300" distR="114300" simplePos="0" relativeHeight="251659264" behindDoc="0" locked="0" layoutInCell="1" allowOverlap="1" wp14:anchorId="794FDD28" wp14:editId="67D5E247">
          <wp:simplePos x="0" y="0"/>
          <wp:positionH relativeFrom="column">
            <wp:posOffset>0</wp:posOffset>
          </wp:positionH>
          <wp:positionV relativeFrom="paragraph">
            <wp:posOffset>-323850</wp:posOffset>
          </wp:positionV>
          <wp:extent cx="1019175" cy="1076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pic:spPr>
              </pic:pic>
            </a:graphicData>
          </a:graphic>
          <wp14:sizeRelH relativeFrom="page">
            <wp14:pctWidth>0</wp14:pctWidth>
          </wp14:sizeRelH>
          <wp14:sizeRelV relativeFrom="page">
            <wp14:pctHeight>0</wp14:pctHeight>
          </wp14:sizeRelV>
        </wp:anchor>
      </w:drawing>
    </w:r>
    <w:r w:rsidRPr="006233AD">
      <w:rPr>
        <w:rFonts w:ascii="Arial" w:hAnsi="Arial" w:cs="Arial"/>
        <w:sz w:val="52"/>
        <w:szCs w:val="52"/>
      </w:rPr>
      <w:t>Inspired Eye Design</w:t>
    </w:r>
  </w:p>
  <w:p w14:paraId="5BDA4675" w14:textId="77777777" w:rsidR="005A52E5" w:rsidRPr="00261279" w:rsidRDefault="005A52E5" w:rsidP="005A52E5">
    <w:pPr>
      <w:pStyle w:val="Header"/>
      <w:jc w:val="center"/>
      <w:rPr>
        <w:rFonts w:ascii="Arial" w:hAnsi="Arial" w:cs="Arial"/>
        <w:sz w:val="20"/>
        <w:szCs w:val="20"/>
      </w:rPr>
    </w:pPr>
    <w:r w:rsidRPr="00261279">
      <w:rPr>
        <w:rFonts w:ascii="Arial" w:hAnsi="Arial" w:cs="Arial"/>
        <w:sz w:val="20"/>
        <w:szCs w:val="20"/>
      </w:rPr>
      <w:t>HSR Certified Professional Home Stager and Redesigner</w:t>
    </w:r>
  </w:p>
  <w:p w14:paraId="5FCDD12A" w14:textId="77777777" w:rsidR="005A52E5" w:rsidRDefault="005A52E5" w:rsidP="005A52E5">
    <w:pPr>
      <w:jc w:val="center"/>
    </w:pPr>
    <w:r w:rsidRPr="00261279">
      <w:rPr>
        <w:rFonts w:ascii="Arial" w:hAnsi="Arial" w:cs="Arial"/>
        <w:sz w:val="20"/>
        <w:szCs w:val="20"/>
      </w:rPr>
      <w:t>www.</w:t>
    </w:r>
    <w:r>
      <w:rPr>
        <w:rFonts w:ascii="Arial" w:hAnsi="Arial" w:cs="Arial"/>
        <w:sz w:val="20"/>
        <w:szCs w:val="20"/>
      </w:rPr>
      <w:t>inspiredeyedesign</w:t>
    </w:r>
    <w:r w:rsidRPr="00261279">
      <w:rPr>
        <w:rFonts w:ascii="Arial" w:hAnsi="Arial" w:cs="Arial"/>
        <w:sz w:val="20"/>
        <w:szCs w:val="20"/>
      </w:rPr>
      <w:t>.com</w:t>
    </w:r>
    <w:bookmarkEnd w:id="0"/>
  </w:p>
  <w:p w14:paraId="6E7B4EF5" w14:textId="77777777" w:rsidR="005A52E5" w:rsidRDefault="005A52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DDD"/>
    <w:rsid w:val="001E67F6"/>
    <w:rsid w:val="005A52E5"/>
    <w:rsid w:val="0067676E"/>
    <w:rsid w:val="006D0F5A"/>
    <w:rsid w:val="00806F29"/>
    <w:rsid w:val="008235ED"/>
    <w:rsid w:val="00A6559A"/>
    <w:rsid w:val="00C219E4"/>
    <w:rsid w:val="00C542B8"/>
    <w:rsid w:val="00C94D6B"/>
    <w:rsid w:val="00D43DDD"/>
    <w:rsid w:val="00EE3132"/>
    <w:rsid w:val="00F2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640D"/>
  <w15:docId w15:val="{5495E959-2E01-4EB9-99E0-DE22243F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Header">
    <w:name w:val="header"/>
    <w:basedOn w:val="Normal"/>
    <w:link w:val="HeaderChar"/>
    <w:unhideWhenUsed/>
    <w:rsid w:val="005A52E5"/>
    <w:pPr>
      <w:tabs>
        <w:tab w:val="center" w:pos="4680"/>
        <w:tab w:val="right" w:pos="9360"/>
      </w:tabs>
    </w:pPr>
    <w:rPr>
      <w:rFonts w:cs="Mangal"/>
      <w:szCs w:val="21"/>
    </w:rPr>
  </w:style>
  <w:style w:type="character" w:customStyle="1" w:styleId="HeaderChar">
    <w:name w:val="Header Char"/>
    <w:basedOn w:val="DefaultParagraphFont"/>
    <w:link w:val="Header"/>
    <w:rsid w:val="005A52E5"/>
    <w:rPr>
      <w:rFonts w:cs="Mangal"/>
      <w:szCs w:val="21"/>
    </w:rPr>
  </w:style>
  <w:style w:type="paragraph" w:styleId="Footer">
    <w:name w:val="footer"/>
    <w:basedOn w:val="Normal"/>
    <w:link w:val="FooterChar"/>
    <w:unhideWhenUsed/>
    <w:rsid w:val="005A52E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A52E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O</dc:creator>
  <cp:lastModifiedBy>Blake Hancock</cp:lastModifiedBy>
  <cp:revision>5</cp:revision>
  <dcterms:created xsi:type="dcterms:W3CDTF">2020-06-15T22:24:00Z</dcterms:created>
  <dcterms:modified xsi:type="dcterms:W3CDTF">2020-06-15T23:28:00Z</dcterms:modified>
</cp:coreProperties>
</file>