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6BAC2" w14:textId="77777777" w:rsidR="00FB6FB5" w:rsidRDefault="00610EFC">
      <w:pPr>
        <w:spacing w:after="30"/>
      </w:pPr>
      <w:r>
        <w:rPr>
          <w:b/>
          <w:bCs/>
          <w:color w:val="2E4A62"/>
          <w:spacing w:val="24"/>
          <w:sz w:val="44"/>
          <w:szCs w:val="44"/>
        </w:rPr>
        <w:t>NACCL</w:t>
      </w:r>
    </w:p>
    <w:p w14:paraId="58A74F09" w14:textId="77777777" w:rsidR="00FB6FB5" w:rsidRDefault="00610EFC">
      <w:pPr>
        <w:pBdr>
          <w:bottom w:val="single" w:sz="12" w:space="8" w:color="C65D00"/>
        </w:pBdr>
        <w:spacing w:after="200"/>
      </w:pPr>
      <w:r>
        <w:t>National Association of Continuum of Care Leaders</w:t>
      </w:r>
    </w:p>
    <w:p w14:paraId="258FECB4" w14:textId="77777777" w:rsidR="00FB6FB5" w:rsidRDefault="00610EFC">
      <w:pPr>
        <w:spacing w:after="100" w:line="264" w:lineRule="auto"/>
      </w:pPr>
      <w:r>
        <w:rPr>
          <w:b/>
          <w:bCs/>
          <w:color w:val="C65D00"/>
          <w:sz w:val="32"/>
          <w:szCs w:val="32"/>
        </w:rPr>
        <w:t>Where Things Stand</w:t>
      </w:r>
    </w:p>
    <w:p w14:paraId="1D788677" w14:textId="77777777" w:rsidR="00FB6FB5" w:rsidRDefault="00610EFC">
      <w:pPr>
        <w:spacing w:after="150" w:line="264" w:lineRule="auto"/>
      </w:pPr>
      <w:r>
        <w:t>NACCL is a national professional association for CoCs, built and governed by CoC leaders. Its work is professional development, peer learning, shared resources, and support for the people who lead and coordinate Continuums of Care. Organized as a 501(c)(6) professional association, NACCL also has more flexibility to advocate and lobby federally on issues important to member CoCs. Membership is held at the CoC level, and every member CoC has one vote regardless of size or dues tier.</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B6FB5" w14:paraId="7A5BD8DC" w14:textId="77777777">
        <w:tblPrEx>
          <w:tblCellMar>
            <w:top w:w="0" w:type="dxa"/>
            <w:bottom w:w="0" w:type="dxa"/>
          </w:tblCellMar>
        </w:tblPrEx>
        <w:tc>
          <w:tcPr>
            <w:tcW w:w="2340" w:type="dxa"/>
            <w:shd w:val="clear" w:color="auto" w:fill="2E4A62"/>
            <w:tcMar>
              <w:top w:w="130" w:type="dxa"/>
              <w:left w:w="80" w:type="dxa"/>
              <w:bottom w:w="130" w:type="dxa"/>
              <w:right w:w="80" w:type="dxa"/>
            </w:tcMar>
          </w:tcPr>
          <w:p w14:paraId="33CB4B3D" w14:textId="77777777" w:rsidR="00FB6FB5" w:rsidRDefault="00610EFC">
            <w:pPr>
              <w:spacing w:after="20"/>
              <w:jc w:val="center"/>
            </w:pPr>
            <w:r>
              <w:rPr>
                <w:b/>
                <w:bCs/>
                <w:color w:val="FFFFFF"/>
                <w:sz w:val="36"/>
                <w:szCs w:val="36"/>
              </w:rPr>
              <w:t>149</w:t>
            </w:r>
          </w:p>
          <w:p w14:paraId="19122BFE" w14:textId="77777777" w:rsidR="00FB6FB5" w:rsidRDefault="00610EFC">
            <w:pPr>
              <w:spacing w:line="210" w:lineRule="auto"/>
              <w:jc w:val="center"/>
            </w:pPr>
            <w:r>
              <w:rPr>
                <w:caps/>
                <w:color w:val="FFFFFF"/>
                <w:spacing w:val="14"/>
                <w:sz w:val="15"/>
                <w:szCs w:val="15"/>
              </w:rPr>
              <w:t>Founding members</w:t>
            </w:r>
          </w:p>
        </w:tc>
        <w:tc>
          <w:tcPr>
            <w:tcW w:w="2340" w:type="dxa"/>
            <w:shd w:val="clear" w:color="auto" w:fill="C65D00"/>
            <w:tcMar>
              <w:top w:w="130" w:type="dxa"/>
              <w:left w:w="80" w:type="dxa"/>
              <w:bottom w:w="130" w:type="dxa"/>
              <w:right w:w="80" w:type="dxa"/>
            </w:tcMar>
          </w:tcPr>
          <w:p w14:paraId="692E7807" w14:textId="77777777" w:rsidR="00FB6FB5" w:rsidRDefault="00610EFC">
            <w:pPr>
              <w:spacing w:after="20"/>
              <w:jc w:val="center"/>
            </w:pPr>
            <w:r>
              <w:rPr>
                <w:b/>
                <w:bCs/>
                <w:color w:val="FFFFFF"/>
                <w:sz w:val="36"/>
                <w:szCs w:val="36"/>
              </w:rPr>
              <w:t>42 + DC</w:t>
            </w:r>
          </w:p>
          <w:p w14:paraId="36BF8CB2" w14:textId="77777777" w:rsidR="00FB6FB5" w:rsidRDefault="00610EFC">
            <w:pPr>
              <w:spacing w:line="210" w:lineRule="auto"/>
              <w:jc w:val="center"/>
            </w:pPr>
            <w:r>
              <w:rPr>
                <w:caps/>
                <w:color w:val="FFFFFF"/>
                <w:spacing w:val="14"/>
                <w:sz w:val="15"/>
                <w:szCs w:val="15"/>
              </w:rPr>
              <w:t>States</w:t>
            </w:r>
          </w:p>
        </w:tc>
        <w:tc>
          <w:tcPr>
            <w:tcW w:w="2340" w:type="dxa"/>
            <w:shd w:val="clear" w:color="auto" w:fill="C4953A"/>
            <w:tcMar>
              <w:top w:w="130" w:type="dxa"/>
              <w:left w:w="80" w:type="dxa"/>
              <w:bottom w:w="130" w:type="dxa"/>
              <w:right w:w="80" w:type="dxa"/>
            </w:tcMar>
          </w:tcPr>
          <w:p w14:paraId="6D854E92" w14:textId="77777777" w:rsidR="00FB6FB5" w:rsidRDefault="00610EFC">
            <w:pPr>
              <w:spacing w:after="20"/>
              <w:jc w:val="center"/>
            </w:pPr>
            <w:r>
              <w:rPr>
                <w:b/>
                <w:bCs/>
                <w:color w:val="FFFFFF"/>
                <w:sz w:val="36"/>
                <w:szCs w:val="36"/>
              </w:rPr>
              <w:t>10</w:t>
            </w:r>
          </w:p>
          <w:p w14:paraId="2E2422F0" w14:textId="77777777" w:rsidR="00FB6FB5" w:rsidRDefault="00610EFC">
            <w:pPr>
              <w:spacing w:line="210" w:lineRule="auto"/>
              <w:jc w:val="center"/>
            </w:pPr>
            <w:r>
              <w:rPr>
                <w:caps/>
                <w:color w:val="FFFFFF"/>
                <w:spacing w:val="14"/>
                <w:sz w:val="15"/>
                <w:szCs w:val="15"/>
              </w:rPr>
              <w:t>HUD regions</w:t>
            </w:r>
          </w:p>
        </w:tc>
        <w:tc>
          <w:tcPr>
            <w:tcW w:w="2340" w:type="dxa"/>
            <w:shd w:val="clear" w:color="auto" w:fill="2D2D2D"/>
            <w:tcMar>
              <w:top w:w="130" w:type="dxa"/>
              <w:left w:w="80" w:type="dxa"/>
              <w:bottom w:w="130" w:type="dxa"/>
              <w:right w:w="80" w:type="dxa"/>
            </w:tcMar>
          </w:tcPr>
          <w:p w14:paraId="3B5D1A3E" w14:textId="77777777" w:rsidR="00FB6FB5" w:rsidRDefault="00610EFC">
            <w:pPr>
              <w:spacing w:after="20"/>
              <w:jc w:val="center"/>
            </w:pPr>
            <w:r>
              <w:rPr>
                <w:b/>
                <w:bCs/>
                <w:color w:val="FFFFFF"/>
                <w:sz w:val="36"/>
                <w:szCs w:val="36"/>
              </w:rPr>
              <w:t>July 31</w:t>
            </w:r>
          </w:p>
          <w:p w14:paraId="7DC49A2E" w14:textId="77777777" w:rsidR="00FB6FB5" w:rsidRDefault="00610EFC">
            <w:pPr>
              <w:spacing w:line="210" w:lineRule="auto"/>
              <w:jc w:val="center"/>
            </w:pPr>
            <w:r>
              <w:rPr>
                <w:caps/>
                <w:color w:val="FFFFFF"/>
                <w:spacing w:val="14"/>
                <w:sz w:val="15"/>
                <w:szCs w:val="15"/>
              </w:rPr>
              <w:t>Incorporated 2026</w:t>
            </w:r>
          </w:p>
        </w:tc>
      </w:tr>
    </w:tbl>
    <w:p w14:paraId="309B5D65" w14:textId="77777777" w:rsidR="00FB6FB5" w:rsidRDefault="00FB6FB5">
      <w:pPr>
        <w:spacing w:after="6" w:line="264" w:lineRule="auto"/>
      </w:pPr>
    </w:p>
    <w:p w14:paraId="535AADB4" w14:textId="77777777" w:rsidR="00FB6FB5" w:rsidRDefault="00610EFC">
      <w:pPr>
        <w:spacing w:after="120" w:line="264" w:lineRule="auto"/>
      </w:pPr>
      <w:r>
        <w:t>The founding membership window closed on July 31, 2026. One hundred forty-nine Continuums of Care joined as founding members, from 42 states and the District of Columbia, covering all ten HUD regions and every CoC type. NACCL is incorporated as a nonprofit corporation and in good standing. Recognition by the Internal Revenue Service as a 501(c)(6) is a separate step and is underway. NACCL continues to operate while that is under review, invoicing founding dues and moving toward the first board election.</w:t>
      </w:r>
    </w:p>
    <w:p w14:paraId="58C6AD34" w14:textId="77777777" w:rsidR="00FB6FB5" w:rsidRDefault="00610EFC">
      <w:pPr>
        <w:shd w:val="clear" w:color="auto" w:fill="2E4A62"/>
        <w:spacing w:before="170" w:after="115"/>
        <w:ind w:left="100" w:right="100"/>
      </w:pPr>
      <w:r>
        <w:rPr>
          <w:b/>
          <w:bCs/>
          <w:color w:val="FFFFFF"/>
          <w:spacing w:val="6"/>
          <w:sz w:val="23"/>
          <w:szCs w:val="23"/>
        </w:rPr>
        <w:t>What Happens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6FB5" w14:paraId="2C1DC364" w14:textId="77777777">
        <w:tblPrEx>
          <w:tblCellMar>
            <w:top w:w="0" w:type="dxa"/>
            <w:bottom w:w="0" w:type="dxa"/>
          </w:tblCellMar>
        </w:tblPrEx>
        <w:tc>
          <w:tcPr>
            <w:tcW w:w="2200" w:type="dxa"/>
            <w:tcBorders>
              <w:bottom w:val="single" w:sz="4" w:space="0" w:color="D9D9D9"/>
            </w:tcBorders>
            <w:shd w:val="clear" w:color="auto" w:fill="FDF6ED"/>
            <w:tcMar>
              <w:top w:w="56" w:type="dxa"/>
              <w:left w:w="90" w:type="dxa"/>
              <w:bottom w:w="56" w:type="dxa"/>
              <w:right w:w="90" w:type="dxa"/>
            </w:tcMar>
          </w:tcPr>
          <w:p w14:paraId="58EF836C" w14:textId="77777777" w:rsidR="00FB6FB5" w:rsidRDefault="00610EFC">
            <w:pPr>
              <w:spacing w:line="230" w:lineRule="auto"/>
            </w:pPr>
            <w:r>
              <w:rPr>
                <w:b/>
                <w:bCs/>
                <w:color w:val="C65D00"/>
                <w:sz w:val="21"/>
                <w:szCs w:val="21"/>
              </w:rPr>
              <w:t>Now</w:t>
            </w:r>
          </w:p>
        </w:tc>
        <w:tc>
          <w:tcPr>
            <w:tcW w:w="7160" w:type="dxa"/>
            <w:tcBorders>
              <w:bottom w:val="single" w:sz="4" w:space="0" w:color="D9D9D9"/>
            </w:tcBorders>
            <w:shd w:val="clear" w:color="auto" w:fill="FDF6ED"/>
            <w:tcMar>
              <w:top w:w="56" w:type="dxa"/>
              <w:left w:w="90" w:type="dxa"/>
              <w:bottom w:w="56" w:type="dxa"/>
              <w:right w:w="90" w:type="dxa"/>
            </w:tcMar>
          </w:tcPr>
          <w:p w14:paraId="7791B6C6" w14:textId="77777777" w:rsidR="00FB6FB5" w:rsidRDefault="00610EFC">
            <w:pPr>
              <w:spacing w:line="230" w:lineRule="auto"/>
            </w:pPr>
            <w:r>
              <w:rPr>
                <w:sz w:val="21"/>
                <w:szCs w:val="21"/>
              </w:rPr>
              <w:t>Founding dues invoices go out to all 149 founding members, at the tier and amount recorded when the CoC pledged.</w:t>
            </w:r>
          </w:p>
        </w:tc>
      </w:tr>
      <w:tr w:rsidR="00FB6FB5" w14:paraId="7024F5E7" w14:textId="77777777">
        <w:tblPrEx>
          <w:tblCellMar>
            <w:top w:w="0" w:type="dxa"/>
            <w:bottom w:w="0" w:type="dxa"/>
          </w:tblCellMar>
        </w:tblPrEx>
        <w:tc>
          <w:tcPr>
            <w:tcW w:w="2200" w:type="dxa"/>
            <w:tcBorders>
              <w:bottom w:val="single" w:sz="4" w:space="0" w:color="D9D9D9"/>
            </w:tcBorders>
            <w:tcMar>
              <w:top w:w="56" w:type="dxa"/>
              <w:left w:w="90" w:type="dxa"/>
              <w:bottom w:w="56" w:type="dxa"/>
              <w:right w:w="90" w:type="dxa"/>
            </w:tcMar>
          </w:tcPr>
          <w:p w14:paraId="0CDD97BE" w14:textId="77777777" w:rsidR="00FB6FB5" w:rsidRDefault="00610EFC">
            <w:pPr>
              <w:spacing w:line="230" w:lineRule="auto"/>
            </w:pPr>
            <w:r>
              <w:rPr>
                <w:b/>
                <w:bCs/>
                <w:color w:val="C65D00"/>
                <w:sz w:val="21"/>
                <w:szCs w:val="21"/>
              </w:rPr>
              <w:t>This fall</w:t>
            </w:r>
          </w:p>
        </w:tc>
        <w:tc>
          <w:tcPr>
            <w:tcW w:w="7160" w:type="dxa"/>
            <w:tcBorders>
              <w:bottom w:val="single" w:sz="4" w:space="0" w:color="D9D9D9"/>
            </w:tcBorders>
            <w:tcMar>
              <w:top w:w="56" w:type="dxa"/>
              <w:left w:w="90" w:type="dxa"/>
              <w:bottom w:w="56" w:type="dxa"/>
              <w:right w:w="90" w:type="dxa"/>
            </w:tcMar>
          </w:tcPr>
          <w:p w14:paraId="2C130148" w14:textId="77777777" w:rsidR="00FB6FB5" w:rsidRDefault="00610EFC">
            <w:pPr>
              <w:spacing w:line="230" w:lineRule="auto"/>
            </w:pPr>
            <w:r>
              <w:rPr>
                <w:sz w:val="21"/>
                <w:szCs w:val="21"/>
              </w:rPr>
              <w:t>Nominations open for the first elected Board of Directors. Members in good standing may nominate, be nominated, and vote.</w:t>
            </w:r>
          </w:p>
        </w:tc>
      </w:tr>
      <w:tr w:rsidR="00FB6FB5" w14:paraId="4DC1DA50" w14:textId="77777777">
        <w:tblPrEx>
          <w:tblCellMar>
            <w:top w:w="0" w:type="dxa"/>
            <w:bottom w:w="0" w:type="dxa"/>
          </w:tblCellMar>
        </w:tblPrEx>
        <w:tc>
          <w:tcPr>
            <w:tcW w:w="2200" w:type="dxa"/>
            <w:tcBorders>
              <w:bottom w:val="single" w:sz="4" w:space="0" w:color="D9D9D9"/>
            </w:tcBorders>
            <w:shd w:val="clear" w:color="auto" w:fill="FDF6ED"/>
            <w:tcMar>
              <w:top w:w="56" w:type="dxa"/>
              <w:left w:w="90" w:type="dxa"/>
              <w:bottom w:w="56" w:type="dxa"/>
              <w:right w:w="90" w:type="dxa"/>
            </w:tcMar>
          </w:tcPr>
          <w:p w14:paraId="54FA9B73" w14:textId="77777777" w:rsidR="00FB6FB5" w:rsidRDefault="00610EFC">
            <w:pPr>
              <w:spacing w:line="230" w:lineRule="auto"/>
            </w:pPr>
            <w:r>
              <w:rPr>
                <w:b/>
                <w:bCs/>
                <w:color w:val="C65D00"/>
                <w:sz w:val="21"/>
                <w:szCs w:val="21"/>
              </w:rPr>
              <w:t>Fall or winter</w:t>
            </w:r>
          </w:p>
        </w:tc>
        <w:tc>
          <w:tcPr>
            <w:tcW w:w="7160" w:type="dxa"/>
            <w:tcBorders>
              <w:bottom w:val="single" w:sz="4" w:space="0" w:color="D9D9D9"/>
            </w:tcBorders>
            <w:shd w:val="clear" w:color="auto" w:fill="FDF6ED"/>
            <w:tcMar>
              <w:top w:w="56" w:type="dxa"/>
              <w:left w:w="90" w:type="dxa"/>
              <w:bottom w:w="56" w:type="dxa"/>
              <w:right w:w="90" w:type="dxa"/>
            </w:tcMar>
          </w:tcPr>
          <w:p w14:paraId="2D2A606C" w14:textId="77777777" w:rsidR="00FB6FB5" w:rsidRDefault="00610EFC">
            <w:pPr>
              <w:spacing w:line="230" w:lineRule="auto"/>
            </w:pPr>
            <w:r>
              <w:rPr>
                <w:sz w:val="21"/>
                <w:szCs w:val="21"/>
              </w:rPr>
              <w:t>The election is completed and the first Board of Directors is seated. The interim officers hand off at that point.</w:t>
            </w:r>
          </w:p>
        </w:tc>
      </w:tr>
      <w:tr w:rsidR="00FB6FB5" w14:paraId="4DFCE907" w14:textId="77777777">
        <w:tblPrEx>
          <w:tblCellMar>
            <w:top w:w="0" w:type="dxa"/>
            <w:bottom w:w="0" w:type="dxa"/>
          </w:tblCellMar>
        </w:tblPrEx>
        <w:tc>
          <w:tcPr>
            <w:tcW w:w="2200" w:type="dxa"/>
            <w:tcBorders>
              <w:bottom w:val="single" w:sz="4" w:space="0" w:color="D9D9D9"/>
            </w:tcBorders>
            <w:tcMar>
              <w:top w:w="56" w:type="dxa"/>
              <w:left w:w="90" w:type="dxa"/>
              <w:bottom w:w="56" w:type="dxa"/>
              <w:right w:w="90" w:type="dxa"/>
            </w:tcMar>
          </w:tcPr>
          <w:p w14:paraId="20E1090E" w14:textId="77777777" w:rsidR="00FB6FB5" w:rsidRDefault="00610EFC">
            <w:pPr>
              <w:spacing w:line="230" w:lineRule="auto"/>
            </w:pPr>
            <w:r>
              <w:rPr>
                <w:b/>
                <w:bCs/>
                <w:color w:val="C65D00"/>
                <w:sz w:val="21"/>
                <w:szCs w:val="21"/>
              </w:rPr>
              <w:t>December 8</w:t>
            </w:r>
          </w:p>
        </w:tc>
        <w:tc>
          <w:tcPr>
            <w:tcW w:w="7160" w:type="dxa"/>
            <w:tcBorders>
              <w:bottom w:val="single" w:sz="4" w:space="0" w:color="D9D9D9"/>
            </w:tcBorders>
            <w:tcMar>
              <w:top w:w="56" w:type="dxa"/>
              <w:left w:w="90" w:type="dxa"/>
              <w:bottom w:w="56" w:type="dxa"/>
              <w:right w:w="90" w:type="dxa"/>
            </w:tcMar>
          </w:tcPr>
          <w:p w14:paraId="74251754" w14:textId="77777777" w:rsidR="00FB6FB5" w:rsidRDefault="00610EFC">
            <w:pPr>
              <w:spacing w:line="230" w:lineRule="auto"/>
            </w:pPr>
            <w:r>
              <w:rPr>
                <w:sz w:val="21"/>
                <w:szCs w:val="21"/>
              </w:rPr>
              <w:t>National convening in San Diego, California, at the Hilton San Diego Bayfront. The first gathering of the membership under an elected board.</w:t>
            </w:r>
          </w:p>
        </w:tc>
      </w:tr>
    </w:tbl>
    <w:p w14:paraId="7A848097" w14:textId="77777777" w:rsidR="00FB6FB5" w:rsidRDefault="00610EFC">
      <w:pPr>
        <w:shd w:val="clear" w:color="auto" w:fill="2E4A62"/>
        <w:spacing w:before="170" w:after="115"/>
        <w:ind w:left="100" w:right="100"/>
      </w:pPr>
      <w:r>
        <w:rPr>
          <w:b/>
          <w:bCs/>
          <w:color w:val="FFFFFF"/>
          <w:spacing w:val="6"/>
          <w:sz w:val="23"/>
          <w:szCs w:val="23"/>
        </w:rPr>
        <w:t>Who Is Leading NACCL Right Now</w:t>
      </w:r>
    </w:p>
    <w:p w14:paraId="484612E5" w14:textId="77777777" w:rsidR="00FB6FB5" w:rsidRDefault="00610EFC">
      <w:pPr>
        <w:spacing w:after="80" w:line="264" w:lineRule="auto"/>
      </w:pPr>
      <w:r>
        <w:t>Four interim officers and two Election Co-Chairs are leading NACCL through the first board election. All six are current CoC leaders with years of experience running Continuums of 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560"/>
        <w:gridCol w:w="2900"/>
      </w:tblGrid>
      <w:tr w:rsidR="00FB6FB5" w14:paraId="0C1BF49D" w14:textId="77777777">
        <w:tblPrEx>
          <w:tblCellMar>
            <w:top w:w="0" w:type="dxa"/>
            <w:bottom w:w="0" w:type="dxa"/>
          </w:tblCellMar>
        </w:tblPrEx>
        <w:tc>
          <w:tcPr>
            <w:tcW w:w="2900" w:type="dxa"/>
            <w:tcBorders>
              <w:bottom w:val="single" w:sz="4" w:space="0" w:color="D9D9D9"/>
            </w:tcBorders>
            <w:shd w:val="clear" w:color="auto" w:fill="F7F7F5"/>
            <w:tcMar>
              <w:top w:w="55" w:type="dxa"/>
              <w:left w:w="90" w:type="dxa"/>
              <w:bottom w:w="55" w:type="dxa"/>
              <w:right w:w="90" w:type="dxa"/>
            </w:tcMar>
          </w:tcPr>
          <w:p w14:paraId="434FC6B7" w14:textId="77777777" w:rsidR="00FB6FB5" w:rsidRDefault="00610EFC">
            <w:pPr>
              <w:spacing w:line="225" w:lineRule="auto"/>
            </w:pPr>
            <w:r>
              <w:rPr>
                <w:b/>
                <w:bCs/>
                <w:sz w:val="21"/>
                <w:szCs w:val="21"/>
              </w:rPr>
              <w:t>Zach Brown</w:t>
            </w:r>
          </w:p>
        </w:tc>
        <w:tc>
          <w:tcPr>
            <w:tcW w:w="3560" w:type="dxa"/>
            <w:tcBorders>
              <w:bottom w:val="single" w:sz="4" w:space="0" w:color="D9D9D9"/>
            </w:tcBorders>
            <w:shd w:val="clear" w:color="auto" w:fill="F7F7F5"/>
            <w:tcMar>
              <w:top w:w="55" w:type="dxa"/>
              <w:left w:w="90" w:type="dxa"/>
              <w:bottom w:w="55" w:type="dxa"/>
              <w:right w:w="90" w:type="dxa"/>
            </w:tcMar>
          </w:tcPr>
          <w:p w14:paraId="6687270E" w14:textId="77777777" w:rsidR="00FB6FB5" w:rsidRDefault="00610EFC">
            <w:pPr>
              <w:spacing w:line="225" w:lineRule="auto"/>
            </w:pPr>
            <w:r>
              <w:rPr>
                <w:sz w:val="21"/>
                <w:szCs w:val="21"/>
              </w:rPr>
              <w:t>Interim President</w:t>
            </w:r>
          </w:p>
        </w:tc>
        <w:tc>
          <w:tcPr>
            <w:tcW w:w="2900" w:type="dxa"/>
            <w:tcBorders>
              <w:bottom w:val="single" w:sz="4" w:space="0" w:color="D9D9D9"/>
            </w:tcBorders>
            <w:shd w:val="clear" w:color="auto" w:fill="F7F7F5"/>
            <w:tcMar>
              <w:top w:w="55" w:type="dxa"/>
              <w:left w:w="90" w:type="dxa"/>
              <w:bottom w:w="55" w:type="dxa"/>
              <w:right w:w="90" w:type="dxa"/>
            </w:tcMar>
          </w:tcPr>
          <w:p w14:paraId="69F23659" w14:textId="77777777" w:rsidR="00FB6FB5" w:rsidRDefault="00610EFC">
            <w:pPr>
              <w:spacing w:line="225" w:lineRule="auto"/>
            </w:pPr>
            <w:r>
              <w:rPr>
                <w:color w:val="595959"/>
                <w:sz w:val="21"/>
                <w:szCs w:val="21"/>
              </w:rPr>
              <w:t>West Virginia (WV-508)</w:t>
            </w:r>
          </w:p>
        </w:tc>
      </w:tr>
      <w:tr w:rsidR="00FB6FB5" w14:paraId="76CAE8E9" w14:textId="77777777">
        <w:tblPrEx>
          <w:tblCellMar>
            <w:top w:w="0" w:type="dxa"/>
            <w:bottom w:w="0" w:type="dxa"/>
          </w:tblCellMar>
        </w:tblPrEx>
        <w:tc>
          <w:tcPr>
            <w:tcW w:w="2900" w:type="dxa"/>
            <w:tcBorders>
              <w:bottom w:val="single" w:sz="4" w:space="0" w:color="D9D9D9"/>
            </w:tcBorders>
            <w:tcMar>
              <w:top w:w="55" w:type="dxa"/>
              <w:left w:w="90" w:type="dxa"/>
              <w:bottom w:w="55" w:type="dxa"/>
              <w:right w:w="90" w:type="dxa"/>
            </w:tcMar>
          </w:tcPr>
          <w:p w14:paraId="2783DD50" w14:textId="77777777" w:rsidR="00FB6FB5" w:rsidRDefault="00610EFC">
            <w:pPr>
              <w:spacing w:line="225" w:lineRule="auto"/>
            </w:pPr>
            <w:r>
              <w:rPr>
                <w:b/>
                <w:bCs/>
                <w:sz w:val="21"/>
                <w:szCs w:val="21"/>
              </w:rPr>
              <w:t>Tamera Kohler</w:t>
            </w:r>
          </w:p>
        </w:tc>
        <w:tc>
          <w:tcPr>
            <w:tcW w:w="3560" w:type="dxa"/>
            <w:tcBorders>
              <w:bottom w:val="single" w:sz="4" w:space="0" w:color="D9D9D9"/>
            </w:tcBorders>
            <w:tcMar>
              <w:top w:w="55" w:type="dxa"/>
              <w:left w:w="90" w:type="dxa"/>
              <w:bottom w:w="55" w:type="dxa"/>
              <w:right w:w="90" w:type="dxa"/>
            </w:tcMar>
          </w:tcPr>
          <w:p w14:paraId="08CE1B56" w14:textId="77777777" w:rsidR="00FB6FB5" w:rsidRDefault="00610EFC">
            <w:pPr>
              <w:spacing w:line="225" w:lineRule="auto"/>
            </w:pPr>
            <w:r>
              <w:rPr>
                <w:sz w:val="21"/>
                <w:szCs w:val="21"/>
              </w:rPr>
              <w:t>Interim Vice President</w:t>
            </w:r>
          </w:p>
        </w:tc>
        <w:tc>
          <w:tcPr>
            <w:tcW w:w="2900" w:type="dxa"/>
            <w:tcBorders>
              <w:bottom w:val="single" w:sz="4" w:space="0" w:color="D9D9D9"/>
            </w:tcBorders>
            <w:tcMar>
              <w:top w:w="55" w:type="dxa"/>
              <w:left w:w="90" w:type="dxa"/>
              <w:bottom w:w="55" w:type="dxa"/>
              <w:right w:w="90" w:type="dxa"/>
            </w:tcMar>
          </w:tcPr>
          <w:p w14:paraId="65FB5A7A" w14:textId="77777777" w:rsidR="00FB6FB5" w:rsidRDefault="00610EFC">
            <w:pPr>
              <w:spacing w:line="225" w:lineRule="auto"/>
            </w:pPr>
            <w:r>
              <w:rPr>
                <w:color w:val="595959"/>
                <w:sz w:val="21"/>
                <w:szCs w:val="21"/>
              </w:rPr>
              <w:t>California (CA-601)</w:t>
            </w:r>
          </w:p>
        </w:tc>
      </w:tr>
      <w:tr w:rsidR="00FB6FB5" w14:paraId="43377646" w14:textId="77777777">
        <w:tblPrEx>
          <w:tblCellMar>
            <w:top w:w="0" w:type="dxa"/>
            <w:bottom w:w="0" w:type="dxa"/>
          </w:tblCellMar>
        </w:tblPrEx>
        <w:tc>
          <w:tcPr>
            <w:tcW w:w="2900" w:type="dxa"/>
            <w:tcBorders>
              <w:bottom w:val="single" w:sz="4" w:space="0" w:color="D9D9D9"/>
            </w:tcBorders>
            <w:shd w:val="clear" w:color="auto" w:fill="F7F7F5"/>
            <w:tcMar>
              <w:top w:w="55" w:type="dxa"/>
              <w:left w:w="90" w:type="dxa"/>
              <w:bottom w:w="55" w:type="dxa"/>
              <w:right w:w="90" w:type="dxa"/>
            </w:tcMar>
          </w:tcPr>
          <w:p w14:paraId="615636BE" w14:textId="77777777" w:rsidR="00FB6FB5" w:rsidRDefault="00610EFC">
            <w:pPr>
              <w:spacing w:line="225" w:lineRule="auto"/>
            </w:pPr>
            <w:r>
              <w:rPr>
                <w:b/>
                <w:bCs/>
                <w:sz w:val="21"/>
                <w:szCs w:val="21"/>
              </w:rPr>
              <w:t>Kenzie Strubank</w:t>
            </w:r>
          </w:p>
        </w:tc>
        <w:tc>
          <w:tcPr>
            <w:tcW w:w="3560" w:type="dxa"/>
            <w:tcBorders>
              <w:bottom w:val="single" w:sz="4" w:space="0" w:color="D9D9D9"/>
            </w:tcBorders>
            <w:shd w:val="clear" w:color="auto" w:fill="F7F7F5"/>
            <w:tcMar>
              <w:top w:w="55" w:type="dxa"/>
              <w:left w:w="90" w:type="dxa"/>
              <w:bottom w:w="55" w:type="dxa"/>
              <w:right w:w="90" w:type="dxa"/>
            </w:tcMar>
          </w:tcPr>
          <w:p w14:paraId="437EF9DB" w14:textId="77777777" w:rsidR="00FB6FB5" w:rsidRDefault="00610EFC">
            <w:pPr>
              <w:spacing w:line="225" w:lineRule="auto"/>
            </w:pPr>
            <w:r>
              <w:rPr>
                <w:sz w:val="21"/>
                <w:szCs w:val="21"/>
              </w:rPr>
              <w:t>Interim Secretary</w:t>
            </w:r>
          </w:p>
        </w:tc>
        <w:tc>
          <w:tcPr>
            <w:tcW w:w="2900" w:type="dxa"/>
            <w:tcBorders>
              <w:bottom w:val="single" w:sz="4" w:space="0" w:color="D9D9D9"/>
            </w:tcBorders>
            <w:shd w:val="clear" w:color="auto" w:fill="F7F7F5"/>
            <w:tcMar>
              <w:top w:w="55" w:type="dxa"/>
              <w:left w:w="90" w:type="dxa"/>
              <w:bottom w:w="55" w:type="dxa"/>
              <w:right w:w="90" w:type="dxa"/>
            </w:tcMar>
          </w:tcPr>
          <w:p w14:paraId="7944106F" w14:textId="77777777" w:rsidR="00FB6FB5" w:rsidRDefault="00610EFC">
            <w:pPr>
              <w:spacing w:line="225" w:lineRule="auto"/>
            </w:pPr>
            <w:r>
              <w:rPr>
                <w:color w:val="595959"/>
                <w:sz w:val="21"/>
                <w:szCs w:val="21"/>
              </w:rPr>
              <w:t>Kentucky (KY-500)</w:t>
            </w:r>
          </w:p>
        </w:tc>
      </w:tr>
      <w:tr w:rsidR="00FB6FB5" w14:paraId="5AC38090" w14:textId="77777777">
        <w:tblPrEx>
          <w:tblCellMar>
            <w:top w:w="0" w:type="dxa"/>
            <w:bottom w:w="0" w:type="dxa"/>
          </w:tblCellMar>
        </w:tblPrEx>
        <w:tc>
          <w:tcPr>
            <w:tcW w:w="2900" w:type="dxa"/>
            <w:tcBorders>
              <w:bottom w:val="single" w:sz="4" w:space="0" w:color="D9D9D9"/>
            </w:tcBorders>
            <w:tcMar>
              <w:top w:w="55" w:type="dxa"/>
              <w:left w:w="90" w:type="dxa"/>
              <w:bottom w:w="55" w:type="dxa"/>
              <w:right w:w="90" w:type="dxa"/>
            </w:tcMar>
          </w:tcPr>
          <w:p w14:paraId="41C13053" w14:textId="77777777" w:rsidR="00FB6FB5" w:rsidRDefault="00610EFC">
            <w:pPr>
              <w:spacing w:line="225" w:lineRule="auto"/>
            </w:pPr>
            <w:r>
              <w:rPr>
                <w:b/>
                <w:bCs/>
                <w:sz w:val="21"/>
                <w:szCs w:val="21"/>
              </w:rPr>
              <w:t>Dawn Gilman</w:t>
            </w:r>
          </w:p>
        </w:tc>
        <w:tc>
          <w:tcPr>
            <w:tcW w:w="3560" w:type="dxa"/>
            <w:tcBorders>
              <w:bottom w:val="single" w:sz="4" w:space="0" w:color="D9D9D9"/>
            </w:tcBorders>
            <w:tcMar>
              <w:top w:w="55" w:type="dxa"/>
              <w:left w:w="90" w:type="dxa"/>
              <w:bottom w:w="55" w:type="dxa"/>
              <w:right w:w="90" w:type="dxa"/>
            </w:tcMar>
          </w:tcPr>
          <w:p w14:paraId="2B67B246" w14:textId="77777777" w:rsidR="00FB6FB5" w:rsidRDefault="00610EFC">
            <w:pPr>
              <w:spacing w:line="225" w:lineRule="auto"/>
            </w:pPr>
            <w:r>
              <w:rPr>
                <w:sz w:val="21"/>
                <w:szCs w:val="21"/>
              </w:rPr>
              <w:t>Interim Treasurer</w:t>
            </w:r>
          </w:p>
        </w:tc>
        <w:tc>
          <w:tcPr>
            <w:tcW w:w="2900" w:type="dxa"/>
            <w:tcBorders>
              <w:bottom w:val="single" w:sz="4" w:space="0" w:color="D9D9D9"/>
            </w:tcBorders>
            <w:tcMar>
              <w:top w:w="55" w:type="dxa"/>
              <w:left w:w="90" w:type="dxa"/>
              <w:bottom w:w="55" w:type="dxa"/>
              <w:right w:w="90" w:type="dxa"/>
            </w:tcMar>
          </w:tcPr>
          <w:p w14:paraId="442F0444" w14:textId="77777777" w:rsidR="00FB6FB5" w:rsidRDefault="00610EFC">
            <w:pPr>
              <w:spacing w:line="225" w:lineRule="auto"/>
            </w:pPr>
            <w:r>
              <w:rPr>
                <w:color w:val="595959"/>
                <w:sz w:val="21"/>
                <w:szCs w:val="21"/>
              </w:rPr>
              <w:t>Florida (FL-510)</w:t>
            </w:r>
          </w:p>
        </w:tc>
      </w:tr>
      <w:tr w:rsidR="00FB6FB5" w14:paraId="33AF4224" w14:textId="77777777">
        <w:tblPrEx>
          <w:tblCellMar>
            <w:top w:w="0" w:type="dxa"/>
            <w:bottom w:w="0" w:type="dxa"/>
          </w:tblCellMar>
        </w:tblPrEx>
        <w:tc>
          <w:tcPr>
            <w:tcW w:w="2900" w:type="dxa"/>
            <w:tcBorders>
              <w:bottom w:val="single" w:sz="4" w:space="0" w:color="D9D9D9"/>
            </w:tcBorders>
            <w:shd w:val="clear" w:color="auto" w:fill="F7F7F5"/>
            <w:tcMar>
              <w:top w:w="55" w:type="dxa"/>
              <w:left w:w="90" w:type="dxa"/>
              <w:bottom w:w="55" w:type="dxa"/>
              <w:right w:w="90" w:type="dxa"/>
            </w:tcMar>
          </w:tcPr>
          <w:p w14:paraId="192808AE" w14:textId="77777777" w:rsidR="00FB6FB5" w:rsidRDefault="00610EFC">
            <w:pPr>
              <w:spacing w:line="225" w:lineRule="auto"/>
            </w:pPr>
            <w:r>
              <w:rPr>
                <w:b/>
                <w:bCs/>
                <w:sz w:val="21"/>
                <w:szCs w:val="21"/>
              </w:rPr>
              <w:t>Kelly King Horne</w:t>
            </w:r>
          </w:p>
        </w:tc>
        <w:tc>
          <w:tcPr>
            <w:tcW w:w="3560" w:type="dxa"/>
            <w:tcBorders>
              <w:bottom w:val="single" w:sz="4" w:space="0" w:color="D9D9D9"/>
            </w:tcBorders>
            <w:shd w:val="clear" w:color="auto" w:fill="F7F7F5"/>
            <w:tcMar>
              <w:top w:w="55" w:type="dxa"/>
              <w:left w:w="90" w:type="dxa"/>
              <w:bottom w:w="55" w:type="dxa"/>
              <w:right w:w="90" w:type="dxa"/>
            </w:tcMar>
          </w:tcPr>
          <w:p w14:paraId="2FE1B20F" w14:textId="77777777" w:rsidR="00FB6FB5" w:rsidRDefault="00610EFC">
            <w:pPr>
              <w:spacing w:line="225" w:lineRule="auto"/>
            </w:pPr>
            <w:r>
              <w:rPr>
                <w:sz w:val="21"/>
                <w:szCs w:val="21"/>
              </w:rPr>
              <w:t>Election Co-Chair</w:t>
            </w:r>
          </w:p>
        </w:tc>
        <w:tc>
          <w:tcPr>
            <w:tcW w:w="2900" w:type="dxa"/>
            <w:tcBorders>
              <w:bottom w:val="single" w:sz="4" w:space="0" w:color="D9D9D9"/>
            </w:tcBorders>
            <w:shd w:val="clear" w:color="auto" w:fill="F7F7F5"/>
            <w:tcMar>
              <w:top w:w="55" w:type="dxa"/>
              <w:left w:w="90" w:type="dxa"/>
              <w:bottom w:w="55" w:type="dxa"/>
              <w:right w:w="90" w:type="dxa"/>
            </w:tcMar>
          </w:tcPr>
          <w:p w14:paraId="0078C1CB" w14:textId="77777777" w:rsidR="00FB6FB5" w:rsidRDefault="00610EFC">
            <w:pPr>
              <w:spacing w:line="225" w:lineRule="auto"/>
            </w:pPr>
            <w:r>
              <w:rPr>
                <w:color w:val="595959"/>
                <w:sz w:val="21"/>
                <w:szCs w:val="21"/>
              </w:rPr>
              <w:t>Virginia (VA-500)</w:t>
            </w:r>
          </w:p>
        </w:tc>
      </w:tr>
      <w:tr w:rsidR="00FB6FB5" w14:paraId="7A18ECA9" w14:textId="77777777">
        <w:tblPrEx>
          <w:tblCellMar>
            <w:top w:w="0" w:type="dxa"/>
            <w:bottom w:w="0" w:type="dxa"/>
          </w:tblCellMar>
        </w:tblPrEx>
        <w:tc>
          <w:tcPr>
            <w:tcW w:w="2900" w:type="dxa"/>
            <w:tcBorders>
              <w:bottom w:val="single" w:sz="4" w:space="0" w:color="D9D9D9"/>
            </w:tcBorders>
            <w:tcMar>
              <w:top w:w="55" w:type="dxa"/>
              <w:left w:w="90" w:type="dxa"/>
              <w:bottom w:w="55" w:type="dxa"/>
              <w:right w:w="90" w:type="dxa"/>
            </w:tcMar>
          </w:tcPr>
          <w:p w14:paraId="65893E29" w14:textId="77777777" w:rsidR="00FB6FB5" w:rsidRDefault="00610EFC">
            <w:pPr>
              <w:spacing w:line="225" w:lineRule="auto"/>
            </w:pPr>
            <w:r>
              <w:rPr>
                <w:b/>
                <w:bCs/>
                <w:sz w:val="21"/>
                <w:szCs w:val="21"/>
              </w:rPr>
              <w:t>Brian Wilson</w:t>
            </w:r>
          </w:p>
        </w:tc>
        <w:tc>
          <w:tcPr>
            <w:tcW w:w="3560" w:type="dxa"/>
            <w:tcBorders>
              <w:bottom w:val="single" w:sz="4" w:space="0" w:color="D9D9D9"/>
            </w:tcBorders>
            <w:tcMar>
              <w:top w:w="55" w:type="dxa"/>
              <w:left w:w="90" w:type="dxa"/>
              <w:bottom w:w="55" w:type="dxa"/>
              <w:right w:w="90" w:type="dxa"/>
            </w:tcMar>
          </w:tcPr>
          <w:p w14:paraId="5D22A37D" w14:textId="77777777" w:rsidR="00FB6FB5" w:rsidRDefault="00610EFC">
            <w:pPr>
              <w:spacing w:line="225" w:lineRule="auto"/>
            </w:pPr>
            <w:r>
              <w:rPr>
                <w:sz w:val="21"/>
                <w:szCs w:val="21"/>
              </w:rPr>
              <w:t>Election Co-Chair</w:t>
            </w:r>
          </w:p>
        </w:tc>
        <w:tc>
          <w:tcPr>
            <w:tcW w:w="2900" w:type="dxa"/>
            <w:tcBorders>
              <w:bottom w:val="single" w:sz="4" w:space="0" w:color="D9D9D9"/>
            </w:tcBorders>
            <w:tcMar>
              <w:top w:w="55" w:type="dxa"/>
              <w:left w:w="90" w:type="dxa"/>
              <w:bottom w:w="55" w:type="dxa"/>
              <w:right w:w="90" w:type="dxa"/>
            </w:tcMar>
          </w:tcPr>
          <w:p w14:paraId="14E6ECD9" w14:textId="77777777" w:rsidR="00FB6FB5" w:rsidRDefault="00610EFC">
            <w:pPr>
              <w:spacing w:line="225" w:lineRule="auto"/>
            </w:pPr>
            <w:r>
              <w:rPr>
                <w:color w:val="595959"/>
                <w:sz w:val="21"/>
                <w:szCs w:val="21"/>
              </w:rPr>
              <w:t>Alaska (AK-501)</w:t>
            </w:r>
          </w:p>
        </w:tc>
      </w:tr>
    </w:tbl>
    <w:p w14:paraId="293C1990" w14:textId="77777777" w:rsidR="00FB6FB5" w:rsidRDefault="00610EFC">
      <w:pPr>
        <w:shd w:val="clear" w:color="auto" w:fill="2E4A62"/>
        <w:spacing w:before="170" w:after="115"/>
        <w:ind w:left="100" w:right="100"/>
      </w:pPr>
      <w:r>
        <w:rPr>
          <w:b/>
          <w:bCs/>
          <w:color w:val="FFFFFF"/>
          <w:spacing w:val="6"/>
          <w:sz w:val="23"/>
          <w:szCs w:val="23"/>
        </w:rPr>
        <w:t>How NACCL Works With Existing Organizations</w:t>
      </w:r>
    </w:p>
    <w:p w14:paraId="01AD810F" w14:textId="77777777" w:rsidR="00FB6FB5" w:rsidRDefault="00610EFC">
      <w:pPr>
        <w:keepNext/>
        <w:spacing w:before="112" w:after="32" w:line="264" w:lineRule="auto"/>
      </w:pPr>
      <w:r>
        <w:rPr>
          <w:b/>
          <w:bCs/>
          <w:color w:val="2E4A62"/>
          <w:sz w:val="23"/>
          <w:szCs w:val="23"/>
        </w:rPr>
        <w:lastRenderedPageBreak/>
        <w:t>Is this duplicating what the National Alliance to End Homelessness does?</w:t>
      </w:r>
    </w:p>
    <w:p w14:paraId="51ABED8B" w14:textId="77777777" w:rsidR="001667BC" w:rsidRDefault="00610EFC" w:rsidP="001667BC">
      <w:pPr>
        <w:spacing w:after="70" w:line="250" w:lineRule="auto"/>
        <w:rPr>
          <w:sz w:val="22"/>
          <w:szCs w:val="22"/>
        </w:rPr>
      </w:pPr>
      <w:r>
        <w:rPr>
          <w:sz w:val="22"/>
          <w:szCs w:val="22"/>
        </w:rPr>
        <w:t>No. NACCL has a specific role: it is a national professional association made up of CoCs and governed by CoC leaders. The National Alliance to End Homelessness and other national organizations play important roles across the broader homelessness field. NACCL is intended to complement that work, not replace it. CoCs can work with and benefit from both.</w:t>
      </w:r>
    </w:p>
    <w:p w14:paraId="4E49BC8F" w14:textId="66010F11" w:rsidR="00FB6FB5" w:rsidRDefault="00610EFC" w:rsidP="001667BC">
      <w:pPr>
        <w:spacing w:after="70" w:line="250" w:lineRule="auto"/>
      </w:pPr>
      <w:r>
        <w:rPr>
          <w:b/>
          <w:bCs/>
          <w:color w:val="C65D00"/>
          <w:sz w:val="32"/>
          <w:szCs w:val="32"/>
        </w:rPr>
        <w:t>Why NACCL Exists</w:t>
      </w:r>
    </w:p>
    <w:p w14:paraId="7DD394AF" w14:textId="77777777" w:rsidR="00FB6FB5" w:rsidRDefault="00610EFC">
      <w:pPr>
        <w:spacing w:after="110" w:line="264" w:lineRule="auto"/>
      </w:pPr>
      <w:r>
        <w:t>CoCs did not have a national professional association of their own, so CoC leaders built one.</w:t>
      </w:r>
    </w:p>
    <w:p w14:paraId="38FBFC81" w14:textId="77777777" w:rsidR="00FB6FB5" w:rsidRDefault="00610EFC">
      <w:pPr>
        <w:shd w:val="clear" w:color="auto" w:fill="2E4A62"/>
        <w:spacing w:before="170" w:after="115"/>
        <w:ind w:left="100" w:right="100"/>
      </w:pPr>
      <w:r>
        <w:rPr>
          <w:b/>
          <w:bCs/>
          <w:color w:val="FFFFFF"/>
          <w:spacing w:val="6"/>
          <w:sz w:val="23"/>
          <w:szCs w:val="23"/>
        </w:rPr>
        <w:t>What CoC Leaders Told Us</w:t>
      </w:r>
    </w:p>
    <w:p w14:paraId="3612AF50" w14:textId="77777777" w:rsidR="00FB6FB5" w:rsidRDefault="00610EFC">
      <w:pPr>
        <w:keepNext/>
        <w:spacing w:before="150" w:after="44" w:line="264" w:lineRule="auto"/>
      </w:pPr>
      <w:r>
        <w:rPr>
          <w:b/>
          <w:bCs/>
          <w:color w:val="C65D00"/>
        </w:rPr>
        <w:t>More ways to learn from peers</w:t>
      </w:r>
    </w:p>
    <w:p w14:paraId="05DC70B9" w14:textId="77777777" w:rsidR="00FB6FB5" w:rsidRDefault="00610EFC">
      <w:pPr>
        <w:spacing w:after="90" w:line="264" w:lineRule="auto"/>
      </w:pPr>
      <w:r>
        <w:t>CoC leaders told us they need more regular ways to connect with people doing the same work. New leaders often learn the job as they go, and what works in one community does not always reach another.</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9300"/>
      </w:tblGrid>
      <w:tr w:rsidR="00FB6FB5" w14:paraId="4B6F43DE" w14:textId="77777777">
        <w:tblPrEx>
          <w:tblCellMar>
            <w:top w:w="0" w:type="dxa"/>
            <w:bottom w:w="0" w:type="dxa"/>
          </w:tblCellMar>
        </w:tblPrEx>
        <w:tc>
          <w:tcPr>
            <w:tcW w:w="60" w:type="dxa"/>
            <w:shd w:val="clear" w:color="auto" w:fill="C65D00"/>
            <w:tcMar>
              <w:top w:w="0" w:type="dxa"/>
              <w:left w:w="0" w:type="dxa"/>
              <w:bottom w:w="0" w:type="dxa"/>
              <w:right w:w="0" w:type="dxa"/>
            </w:tcMar>
          </w:tcPr>
          <w:p w14:paraId="74DD28D1" w14:textId="77777777" w:rsidR="00FB6FB5" w:rsidRDefault="00FB6FB5"/>
        </w:tc>
        <w:tc>
          <w:tcPr>
            <w:tcW w:w="9300" w:type="dxa"/>
            <w:shd w:val="clear" w:color="auto" w:fill="FDF6ED"/>
            <w:tcMar>
              <w:top w:w="86" w:type="dxa"/>
              <w:left w:w="180" w:type="dxa"/>
              <w:bottom w:w="86" w:type="dxa"/>
              <w:right w:w="160" w:type="dxa"/>
            </w:tcMar>
          </w:tcPr>
          <w:p w14:paraId="6373E24B" w14:textId="77777777" w:rsidR="00FB6FB5" w:rsidRDefault="00610EFC">
            <w:pPr>
              <w:spacing w:after="40"/>
            </w:pPr>
            <w:r>
              <w:rPr>
                <w:i/>
                <w:iCs/>
                <w:sz w:val="21"/>
                <w:szCs w:val="21"/>
              </w:rPr>
              <w:t>My onboarding was someone literally dropping a paper copy of the interim rule on my desk.</w:t>
            </w:r>
          </w:p>
          <w:p w14:paraId="6FBD4790" w14:textId="77777777" w:rsidR="00FB6FB5" w:rsidRDefault="00610EFC">
            <w:pPr>
              <w:spacing w:line="220" w:lineRule="auto"/>
            </w:pPr>
            <w:r>
              <w:rPr>
                <w:b/>
                <w:bCs/>
                <w:color w:val="2E4A62"/>
                <w:sz w:val="19"/>
                <w:szCs w:val="19"/>
              </w:rPr>
              <w:t>CoC lead agency director, March 2026 strategy session</w:t>
            </w:r>
          </w:p>
        </w:tc>
      </w:tr>
    </w:tbl>
    <w:p w14:paraId="068B6C80" w14:textId="77777777" w:rsidR="00FB6FB5" w:rsidRDefault="00610EFC">
      <w:pPr>
        <w:keepNext/>
        <w:spacing w:before="150" w:after="44" w:line="264" w:lineRule="auto"/>
      </w:pPr>
      <w:r>
        <w:rPr>
          <w:b/>
          <w:bCs/>
          <w:color w:val="C65D00"/>
        </w:rPr>
        <w:t>Keeping knowledge in the field</w:t>
      </w:r>
    </w:p>
    <w:p w14:paraId="2DCE1D9A" w14:textId="77777777" w:rsidR="00FB6FB5" w:rsidRDefault="00610EFC">
      <w:pPr>
        <w:spacing w:after="90" w:line="264" w:lineRule="auto"/>
      </w:pPr>
      <w:r>
        <w:t>When experienced people leave, CoCs can lose history and practical knowledge with them. Leaders talked about preserving what the field has learned and making it easier for the next person to pick up the work.</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9300"/>
      </w:tblGrid>
      <w:tr w:rsidR="00FB6FB5" w14:paraId="7EC628F3" w14:textId="77777777">
        <w:tblPrEx>
          <w:tblCellMar>
            <w:top w:w="0" w:type="dxa"/>
            <w:bottom w:w="0" w:type="dxa"/>
          </w:tblCellMar>
        </w:tblPrEx>
        <w:tc>
          <w:tcPr>
            <w:tcW w:w="60" w:type="dxa"/>
            <w:shd w:val="clear" w:color="auto" w:fill="C65D00"/>
            <w:tcMar>
              <w:top w:w="0" w:type="dxa"/>
              <w:left w:w="0" w:type="dxa"/>
              <w:bottom w:w="0" w:type="dxa"/>
              <w:right w:w="0" w:type="dxa"/>
            </w:tcMar>
          </w:tcPr>
          <w:p w14:paraId="57527223" w14:textId="77777777" w:rsidR="00FB6FB5" w:rsidRDefault="00FB6FB5"/>
        </w:tc>
        <w:tc>
          <w:tcPr>
            <w:tcW w:w="9300" w:type="dxa"/>
            <w:shd w:val="clear" w:color="auto" w:fill="FDF6ED"/>
            <w:tcMar>
              <w:top w:w="86" w:type="dxa"/>
              <w:left w:w="180" w:type="dxa"/>
              <w:bottom w:w="86" w:type="dxa"/>
              <w:right w:w="160" w:type="dxa"/>
            </w:tcMar>
          </w:tcPr>
          <w:p w14:paraId="10F196B6" w14:textId="77777777" w:rsidR="00FB6FB5" w:rsidRDefault="00610EFC">
            <w:pPr>
              <w:spacing w:after="40"/>
            </w:pPr>
            <w:r>
              <w:rPr>
                <w:i/>
                <w:iCs/>
                <w:sz w:val="21"/>
                <w:szCs w:val="21"/>
              </w:rPr>
              <w:t>We need to capture some of the knowledge about CoC history and what has happened because so much of it gets lost when people leave this work.</w:t>
            </w:r>
          </w:p>
          <w:p w14:paraId="1F2F9079" w14:textId="77777777" w:rsidR="00FB6FB5" w:rsidRDefault="00610EFC">
            <w:pPr>
              <w:spacing w:line="220" w:lineRule="auto"/>
            </w:pPr>
            <w:r>
              <w:rPr>
                <w:b/>
                <w:bCs/>
                <w:color w:val="2E4A62"/>
                <w:sz w:val="19"/>
                <w:szCs w:val="19"/>
              </w:rPr>
              <w:t>Tamera Kohler, CA-601</w:t>
            </w:r>
          </w:p>
        </w:tc>
      </w:tr>
    </w:tbl>
    <w:p w14:paraId="131DFEEC" w14:textId="77777777" w:rsidR="00FB6FB5" w:rsidRDefault="00610EFC">
      <w:pPr>
        <w:keepNext/>
        <w:spacing w:before="150" w:after="44" w:line="264" w:lineRule="auto"/>
      </w:pPr>
      <w:r>
        <w:rPr>
          <w:b/>
          <w:bCs/>
          <w:color w:val="C65D00"/>
        </w:rPr>
        <w:t>Resources CoCs can own and maintain</w:t>
      </w:r>
    </w:p>
    <w:p w14:paraId="00C954F7" w14:textId="77777777" w:rsidR="00FB6FB5" w:rsidRDefault="00610EFC">
      <w:pPr>
        <w:spacing w:after="90" w:line="264" w:lineRule="auto"/>
      </w:pPr>
      <w:r>
        <w:t>CoC leaders also want resources that belong to the field and stay available over time: practical tools, shared information, and materials CoCs can maintain together.</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9300"/>
      </w:tblGrid>
      <w:tr w:rsidR="00FB6FB5" w14:paraId="1369CAEE" w14:textId="77777777">
        <w:tblPrEx>
          <w:tblCellMar>
            <w:top w:w="0" w:type="dxa"/>
            <w:bottom w:w="0" w:type="dxa"/>
          </w:tblCellMar>
        </w:tblPrEx>
        <w:tc>
          <w:tcPr>
            <w:tcW w:w="60" w:type="dxa"/>
            <w:shd w:val="clear" w:color="auto" w:fill="C65D00"/>
            <w:tcMar>
              <w:top w:w="0" w:type="dxa"/>
              <w:left w:w="0" w:type="dxa"/>
              <w:bottom w:w="0" w:type="dxa"/>
              <w:right w:w="0" w:type="dxa"/>
            </w:tcMar>
          </w:tcPr>
          <w:p w14:paraId="46CD482B" w14:textId="77777777" w:rsidR="00FB6FB5" w:rsidRDefault="00FB6FB5"/>
        </w:tc>
        <w:tc>
          <w:tcPr>
            <w:tcW w:w="9300" w:type="dxa"/>
            <w:shd w:val="clear" w:color="auto" w:fill="FDF6ED"/>
            <w:tcMar>
              <w:top w:w="86" w:type="dxa"/>
              <w:left w:w="180" w:type="dxa"/>
              <w:bottom w:w="86" w:type="dxa"/>
              <w:right w:w="160" w:type="dxa"/>
            </w:tcMar>
          </w:tcPr>
          <w:p w14:paraId="4C567B8E" w14:textId="77777777" w:rsidR="00FB6FB5" w:rsidRDefault="00610EFC">
            <w:pPr>
              <w:spacing w:after="40"/>
            </w:pPr>
            <w:r>
              <w:rPr>
                <w:i/>
                <w:iCs/>
                <w:sz w:val="21"/>
                <w:szCs w:val="21"/>
              </w:rPr>
              <w:t>We’ve gotten accustomed to having good resources on HUD Exchange and saw how easily that was washed. Having ownership over our own data and resources, the power behind that is huge.</w:t>
            </w:r>
          </w:p>
          <w:p w14:paraId="2CCEC50A" w14:textId="77777777" w:rsidR="00FB6FB5" w:rsidRDefault="00610EFC">
            <w:pPr>
              <w:spacing w:line="220" w:lineRule="auto"/>
            </w:pPr>
            <w:r>
              <w:rPr>
                <w:b/>
                <w:bCs/>
                <w:color w:val="2E4A62"/>
                <w:sz w:val="19"/>
                <w:szCs w:val="19"/>
              </w:rPr>
              <w:t>Kenzie Strubank, KY-500</w:t>
            </w:r>
          </w:p>
        </w:tc>
      </w:tr>
    </w:tbl>
    <w:p w14:paraId="5C9ACC13" w14:textId="77777777" w:rsidR="00FB6FB5" w:rsidRDefault="00610EFC">
      <w:pPr>
        <w:keepNext/>
        <w:spacing w:before="150" w:after="44" w:line="264" w:lineRule="auto"/>
      </w:pPr>
      <w:r>
        <w:rPr>
          <w:b/>
          <w:bCs/>
          <w:color w:val="C65D00"/>
        </w:rPr>
        <w:t>A national association built specifically for CoCs</w:t>
      </w:r>
    </w:p>
    <w:p w14:paraId="3993D6E9" w14:textId="77777777" w:rsidR="00FB6FB5" w:rsidRDefault="00610EFC">
      <w:pPr>
        <w:spacing w:after="90" w:line="264" w:lineRule="auto"/>
      </w:pPr>
      <w:r>
        <w:t>CoCs already work with state, regional, and national organizations across homelessness, housing, local government, and related fields. NACCL is not intended to replace that work. It is a different kind of organization: a professional association whose members are CoCs, governed by CoC leaders, and focused on the work of leading and coordinating a Continuum of Care.</w:t>
      </w:r>
    </w:p>
    <w:p w14:paraId="77A87298" w14:textId="77777777" w:rsidR="00FB6FB5" w:rsidRDefault="00610EFC">
      <w:pPr>
        <w:spacing w:after="100" w:line="264" w:lineRule="auto"/>
      </w:pPr>
      <w:r>
        <w:t>That gives CoCs a place to learn from one another, develop leaders, build shared resources, and bring a common CoC perspective into federal conversations when members choose to. NACCL is being built for the long term, not tied to one federal proposal, administration, or funding decision.</w:t>
      </w:r>
    </w:p>
    <w:p w14:paraId="14413C24" w14:textId="77777777" w:rsidR="00FB6FB5" w:rsidRDefault="00610EFC">
      <w:pPr>
        <w:pageBreakBefore/>
        <w:spacing w:after="80" w:line="264" w:lineRule="auto"/>
      </w:pPr>
      <w:r>
        <w:rPr>
          <w:b/>
          <w:bCs/>
          <w:color w:val="C65D00"/>
          <w:sz w:val="30"/>
          <w:szCs w:val="30"/>
        </w:rPr>
        <w:lastRenderedPageBreak/>
        <w:t>Frequently Asked Questions</w:t>
      </w:r>
    </w:p>
    <w:p w14:paraId="25ACDB90" w14:textId="77777777" w:rsidR="00FB6FB5" w:rsidRDefault="00610EFC">
      <w:pPr>
        <w:keepNext/>
        <w:spacing w:before="150" w:after="44" w:line="264" w:lineRule="auto"/>
      </w:pPr>
      <w:r>
        <w:rPr>
          <w:b/>
          <w:bCs/>
          <w:color w:val="C65D00"/>
        </w:rPr>
        <w:t>About NACCL</w:t>
      </w:r>
    </w:p>
    <w:p w14:paraId="736FFCC6" w14:textId="77777777" w:rsidR="00FB6FB5" w:rsidRDefault="00610EFC">
      <w:pPr>
        <w:keepNext/>
        <w:spacing w:before="112" w:after="32" w:line="264" w:lineRule="auto"/>
      </w:pPr>
      <w:r>
        <w:rPr>
          <w:b/>
          <w:bCs/>
          <w:color w:val="2E4A62"/>
          <w:sz w:val="23"/>
          <w:szCs w:val="23"/>
        </w:rPr>
        <w:t>What is NACCL, in one sentence?</w:t>
      </w:r>
    </w:p>
    <w:p w14:paraId="2A41337D" w14:textId="77777777" w:rsidR="00FB6FB5" w:rsidRDefault="00610EFC">
      <w:pPr>
        <w:spacing w:after="70" w:line="250" w:lineRule="auto"/>
      </w:pPr>
      <w:r>
        <w:rPr>
          <w:sz w:val="22"/>
          <w:szCs w:val="22"/>
        </w:rPr>
        <w:t>A national professional association for Continuums of Care and the people who lead and coordinate them, built around professional development, peer learning, and a collective voice in federal policy.</w:t>
      </w:r>
    </w:p>
    <w:p w14:paraId="22610A1E" w14:textId="77777777" w:rsidR="00FB6FB5" w:rsidRDefault="00610EFC">
      <w:pPr>
        <w:keepNext/>
        <w:spacing w:before="112" w:after="32" w:line="264" w:lineRule="auto"/>
      </w:pPr>
      <w:r>
        <w:rPr>
          <w:b/>
          <w:bCs/>
          <w:color w:val="2E4A62"/>
          <w:sz w:val="23"/>
          <w:szCs w:val="23"/>
        </w:rPr>
        <w:t>Why a 501(c)(6) and not a 501(c)(3)?</w:t>
      </w:r>
    </w:p>
    <w:p w14:paraId="7FCDF437" w14:textId="77777777" w:rsidR="00FB6FB5" w:rsidRDefault="00610EFC">
      <w:pPr>
        <w:spacing w:after="70" w:line="250" w:lineRule="auto"/>
      </w:pPr>
      <w:r>
        <w:rPr>
          <w:sz w:val="22"/>
          <w:szCs w:val="22"/>
        </w:rPr>
        <w:t>NACCL is a membership-based professional association, and the 501(c)(6) structure fits that purpose. It also gives NACCL more flexibility to engage in federal advocacy and lobbying than many member organizations have on their own, which means NACCL can take positions on federal issues identified by its members without asking any one CoC or lead agency to take that on.</w:t>
      </w:r>
    </w:p>
    <w:p w14:paraId="1B1EE196" w14:textId="77777777" w:rsidR="00FB6FB5" w:rsidRDefault="00610EFC">
      <w:pPr>
        <w:keepNext/>
        <w:spacing w:before="112" w:after="32" w:line="264" w:lineRule="auto"/>
      </w:pPr>
      <w:r>
        <w:rPr>
          <w:b/>
          <w:bCs/>
          <w:color w:val="2E4A62"/>
          <w:sz w:val="23"/>
          <w:szCs w:val="23"/>
        </w:rPr>
        <w:t>What does it mean that NACCL is incorporated?</w:t>
      </w:r>
    </w:p>
    <w:p w14:paraId="0AC0F7DC" w14:textId="77777777" w:rsidR="00FB6FB5" w:rsidRDefault="00610EFC">
      <w:pPr>
        <w:spacing w:after="70" w:line="250" w:lineRule="auto"/>
      </w:pPr>
      <w:r>
        <w:rPr>
          <w:sz w:val="22"/>
          <w:szCs w:val="22"/>
        </w:rPr>
        <w:t>Incorporating creates the organization in the eyes of the law. NACCL is now a nonprofit corporation in good standing, which means it can seat a board, hold funds, and sign agreements. Tax-exempt status is a separate step that comes from the Internal Revenue Service. NACCL has its federal tax identification number, and the application for 501(c)(6) recognition is next. NACCL operates as usual while that is under review. Dues, membership rights, and the board election all move forward.</w:t>
      </w:r>
    </w:p>
    <w:p w14:paraId="27F16786" w14:textId="77777777" w:rsidR="00FB6FB5" w:rsidRDefault="00610EFC">
      <w:pPr>
        <w:keepNext/>
        <w:spacing w:before="112" w:after="32" w:line="264" w:lineRule="auto"/>
      </w:pPr>
      <w:r>
        <w:rPr>
          <w:b/>
          <w:bCs/>
          <w:color w:val="2E4A62"/>
          <w:sz w:val="23"/>
          <w:szCs w:val="23"/>
        </w:rPr>
        <w:t>Who built this?</w:t>
      </w:r>
    </w:p>
    <w:p w14:paraId="731D46C9" w14:textId="77777777" w:rsidR="00FB6FB5" w:rsidRDefault="00610EFC">
      <w:pPr>
        <w:spacing w:after="70" w:line="250" w:lineRule="auto"/>
      </w:pPr>
      <w:r>
        <w:rPr>
          <w:sz w:val="22"/>
          <w:szCs w:val="22"/>
        </w:rPr>
        <w:t>CoC leaders did. More than 700 people from 43 states helped shape the governance structure, dues framework, and initial priorities. Members will elect the board and continue setting NACCL's direction.</w:t>
      </w:r>
    </w:p>
    <w:p w14:paraId="45317552" w14:textId="77777777" w:rsidR="00FB6FB5" w:rsidRDefault="00610EFC">
      <w:pPr>
        <w:keepNext/>
        <w:spacing w:before="150" w:after="44" w:line="264" w:lineRule="auto"/>
      </w:pPr>
      <w:r>
        <w:rPr>
          <w:b/>
          <w:bCs/>
          <w:color w:val="C65D00"/>
        </w:rPr>
        <w:t>Membership</w:t>
      </w:r>
    </w:p>
    <w:p w14:paraId="156E9EA3" w14:textId="77777777" w:rsidR="00FB6FB5" w:rsidRDefault="00610EFC">
      <w:pPr>
        <w:keepNext/>
        <w:spacing w:before="112" w:after="32" w:line="264" w:lineRule="auto"/>
      </w:pPr>
      <w:r>
        <w:rPr>
          <w:b/>
          <w:bCs/>
          <w:color w:val="2E4A62"/>
          <w:sz w:val="23"/>
          <w:szCs w:val="23"/>
        </w:rPr>
        <w:t>Who is eligible to join, and who gets the benefits?</w:t>
      </w:r>
    </w:p>
    <w:p w14:paraId="4FC89081" w14:textId="77777777" w:rsidR="00FB6FB5" w:rsidRDefault="00610EFC">
      <w:pPr>
        <w:spacing w:after="70" w:line="250" w:lineRule="auto"/>
      </w:pPr>
      <w:r>
        <w:rPr>
          <w:sz w:val="22"/>
          <w:szCs w:val="22"/>
        </w:rPr>
        <w:t>Any HUD-designated Continuum of Care. Membership is held by the CoC, not by an individual or a single agency, and your CoC decides locally which entity enrolls, pays dues, and designates the voting representative: a collaborative applicant, a city or county department, a housing authority, or the governance body itself. One membership covers the whole team, and one vote is cast through the designated representative.</w:t>
      </w:r>
    </w:p>
    <w:p w14:paraId="5C5C9508" w14:textId="77777777" w:rsidR="00FB6FB5" w:rsidRDefault="00610EFC">
      <w:pPr>
        <w:keepNext/>
        <w:spacing w:before="112" w:after="32" w:line="264" w:lineRule="auto"/>
      </w:pPr>
      <w:r>
        <w:rPr>
          <w:b/>
          <w:bCs/>
          <w:color w:val="2E4A62"/>
          <w:sz w:val="23"/>
          <w:szCs w:val="23"/>
        </w:rPr>
        <w:t>How are dues calculated?</w:t>
      </w:r>
    </w:p>
    <w:p w14:paraId="66CE2A85" w14:textId="77777777" w:rsidR="00FB6FB5" w:rsidRDefault="00610EFC">
      <w:pPr>
        <w:spacing w:after="70" w:line="250" w:lineRule="auto"/>
      </w:pPr>
      <w:r>
        <w:rPr>
          <w:sz w:val="22"/>
          <w:szCs w:val="22"/>
        </w:rPr>
        <w:t>On an eight-tier scale keyed to your CoC's HUD Estimated Annual Renewal Demand, a figure HUD publishes for every CoC. Larger systems pay more, and every CoC still gets the same single vote. CoCs with zero Annual Renewal Demand may participate without dues while they stabilize.</w:t>
      </w:r>
    </w:p>
    <w:p w14:paraId="0E422F9F" w14:textId="77777777" w:rsidR="00FB6FB5" w:rsidRDefault="00610EFC">
      <w:pPr>
        <w:keepNext/>
        <w:spacing w:before="112" w:after="32" w:line="264" w:lineRule="auto"/>
      </w:pPr>
      <w:r>
        <w:rPr>
          <w:b/>
          <w:bCs/>
          <w:color w:val="2E4A62"/>
          <w:sz w:val="23"/>
          <w:szCs w:val="23"/>
        </w:rPr>
        <w:t>How do CoCs pay for this?</w:t>
      </w:r>
    </w:p>
    <w:p w14:paraId="1C29B18B" w14:textId="77777777" w:rsidR="00FB6FB5" w:rsidRDefault="00610EFC">
      <w:pPr>
        <w:spacing w:after="70" w:line="250" w:lineRule="auto"/>
      </w:pPr>
      <w:r>
        <w:rPr>
          <w:sz w:val="22"/>
          <w:szCs w:val="22"/>
        </w:rPr>
        <w:t>That is a local decision. Use an allowable fund source and follow your own approval, procurement, and grants-compliance requirements, in consultation with your fiscal agent, collaborative applicant leadership, or local counsel. Virginia and Maryland worked within their networks and decided to cover dues statewide, through Virginia Housing and the Maryland Department of Housing and Community Development.</w:t>
      </w:r>
    </w:p>
    <w:p w14:paraId="068CDF9E" w14:textId="77777777" w:rsidR="00FB6FB5" w:rsidRDefault="00610EFC">
      <w:pPr>
        <w:keepNext/>
        <w:spacing w:before="112" w:after="32" w:line="264" w:lineRule="auto"/>
      </w:pPr>
      <w:r>
        <w:rPr>
          <w:b/>
          <w:bCs/>
          <w:color w:val="2E4A62"/>
          <w:sz w:val="23"/>
          <w:szCs w:val="23"/>
        </w:rPr>
        <w:t>Our CoC did not pledge. Can we still join?</w:t>
      </w:r>
    </w:p>
    <w:p w14:paraId="656B53C3" w14:textId="77777777" w:rsidR="00FB6FB5" w:rsidRDefault="00610EFC">
      <w:pPr>
        <w:spacing w:after="70" w:line="250" w:lineRule="auto"/>
      </w:pPr>
      <w:r>
        <w:rPr>
          <w:sz w:val="22"/>
          <w:szCs w:val="22"/>
        </w:rPr>
        <w:t>Yes. Membership is open to every HUD-designated CoC. A CoC that joins and is current on its dues before voting opens can take part in the first Board election, so there is still time for your CoC to help choose the first board. Founding status itself closed with the window on July 31, 2026, and will not reopen. Founding members received a discount on first-year dues, permanent founding recognition, and direct input on the first-year work plan.</w:t>
      </w:r>
    </w:p>
    <w:p w14:paraId="617955DA" w14:textId="77777777" w:rsidR="00FB6FB5" w:rsidRDefault="00610EFC">
      <w:pPr>
        <w:keepNext/>
        <w:pageBreakBefore/>
        <w:spacing w:after="44" w:line="264" w:lineRule="auto"/>
      </w:pPr>
      <w:r>
        <w:rPr>
          <w:b/>
          <w:bCs/>
          <w:color w:val="C65D00"/>
        </w:rPr>
        <w:lastRenderedPageBreak/>
        <w:t>Governance and What Comes Next</w:t>
      </w:r>
    </w:p>
    <w:p w14:paraId="06DF6943" w14:textId="77777777" w:rsidR="00FB6FB5" w:rsidRDefault="00610EFC">
      <w:pPr>
        <w:keepNext/>
        <w:spacing w:before="112" w:after="32" w:line="264" w:lineRule="auto"/>
      </w:pPr>
      <w:r>
        <w:rPr>
          <w:b/>
          <w:bCs/>
          <w:color w:val="2E4A62"/>
          <w:sz w:val="23"/>
          <w:szCs w:val="23"/>
        </w:rPr>
        <w:t>When is the board elected?</w:t>
      </w:r>
    </w:p>
    <w:p w14:paraId="43D5D361" w14:textId="77777777" w:rsidR="00FB6FB5" w:rsidRDefault="00610EFC">
      <w:pPr>
        <w:spacing w:after="70" w:line="250" w:lineRule="auto"/>
      </w:pPr>
      <w:r>
        <w:rPr>
          <w:sz w:val="22"/>
          <w:szCs w:val="22"/>
        </w:rPr>
        <w:t>Nominations open this fall, with the first Board of Directors seated in the months that follow. Every HUD region and every CoC type holds seats, so small, rural, and balance of state CoCs are guaranteed a place. Four standing committees run alongside the board, all open to members: Advocacy Steering, Finance, Governance and Nominating, and Membership and Engagement.</w:t>
      </w:r>
    </w:p>
    <w:p w14:paraId="7D1B183C" w14:textId="77777777" w:rsidR="00FB6FB5" w:rsidRDefault="00610EFC">
      <w:pPr>
        <w:keepNext/>
        <w:spacing w:before="112" w:after="32" w:line="264" w:lineRule="auto"/>
      </w:pPr>
      <w:r>
        <w:rPr>
          <w:b/>
          <w:bCs/>
          <w:color w:val="2E4A62"/>
          <w:sz w:val="23"/>
          <w:szCs w:val="23"/>
        </w:rPr>
        <w:t>Who can vote in the first election?</w:t>
      </w:r>
    </w:p>
    <w:p w14:paraId="137DBA7F" w14:textId="77777777" w:rsidR="00FB6FB5" w:rsidRDefault="00610EFC">
      <w:pPr>
        <w:spacing w:after="70" w:line="250" w:lineRule="auto"/>
      </w:pPr>
      <w:r>
        <w:rPr>
          <w:sz w:val="22"/>
          <w:szCs w:val="22"/>
        </w:rPr>
        <w:t>Any member CoC that is current on its dues when voting opens, through the representative it has designated. That includes CoCs joining between now and then, not only founding members. If your CoC has not named a representative, that is the thing to take care of before nominations open.</w:t>
      </w:r>
    </w:p>
    <w:p w14:paraId="596867FC" w14:textId="77777777" w:rsidR="00FB6FB5" w:rsidRDefault="00610EFC">
      <w:pPr>
        <w:keepNext/>
        <w:spacing w:before="112" w:after="32" w:line="264" w:lineRule="auto"/>
      </w:pPr>
      <w:r>
        <w:rPr>
          <w:b/>
          <w:bCs/>
          <w:color w:val="2E4A62"/>
          <w:sz w:val="23"/>
          <w:szCs w:val="23"/>
        </w:rPr>
        <w:t>What happens on December 8?</w:t>
      </w:r>
    </w:p>
    <w:p w14:paraId="156A2430" w14:textId="77777777" w:rsidR="00FB6FB5" w:rsidRDefault="00610EFC">
      <w:pPr>
        <w:spacing w:after="70" w:line="250" w:lineRule="auto"/>
      </w:pPr>
      <w:r>
        <w:rPr>
          <w:sz w:val="22"/>
          <w:szCs w:val="22"/>
        </w:rPr>
        <w:t>The national convening in San Diego, California, at the Hilton San Diego Bayfront. The first gathering of the membership under an elected board, and where the first-year priorities get set.</w:t>
      </w:r>
    </w:p>
    <w:sectPr w:rsidR="00FB6FB5">
      <w:headerReference w:type="default" r:id="rId7"/>
      <w:footerReference w:type="default" r:id="rId8"/>
      <w:headerReference w:type="first" r:id="rId9"/>
      <w:footerReference w:type="first" r:id="rId10"/>
      <w:pgSz w:w="12240" w:h="15840"/>
      <w:pgMar w:top="1000" w:right="1440" w:bottom="820" w:left="1440" w:header="60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42534" w14:textId="77777777" w:rsidR="00610EFC" w:rsidRDefault="00610EFC">
      <w:r>
        <w:separator/>
      </w:r>
    </w:p>
  </w:endnote>
  <w:endnote w:type="continuationSeparator" w:id="0">
    <w:p w14:paraId="4D027274" w14:textId="77777777" w:rsidR="00610EFC" w:rsidRDefault="00610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0BD2" w14:textId="77777777" w:rsidR="00FB6FB5" w:rsidRDefault="00610EFC">
    <w:pPr>
      <w:spacing w:before="60"/>
      <w:jc w:val="center"/>
    </w:pPr>
    <w:r>
      <w:rPr>
        <w:color w:val="7F7F7F"/>
        <w:sz w:val="17"/>
        <w:szCs w:val="17"/>
      </w:rPr>
      <w:t>National Association of Continuum of Care Leaders  ·  A national professional association for CoCs, by CoCs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2672" w14:textId="77777777" w:rsidR="00FB6FB5" w:rsidRDefault="00610EFC">
    <w:pPr>
      <w:spacing w:before="60"/>
      <w:jc w:val="center"/>
    </w:pPr>
    <w:r>
      <w:rPr>
        <w:color w:val="7F7F7F"/>
        <w:sz w:val="17"/>
        <w:szCs w:val="17"/>
      </w:rPr>
      <w:t>National Association of Continuum of Care Leaders  ·  A national professional association for CoCs, by CoCs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EDAED" w14:textId="77777777" w:rsidR="00610EFC" w:rsidRDefault="00610EFC">
      <w:r>
        <w:separator/>
      </w:r>
    </w:p>
  </w:footnote>
  <w:footnote w:type="continuationSeparator" w:id="0">
    <w:p w14:paraId="7169289A" w14:textId="77777777" w:rsidR="00610EFC" w:rsidRDefault="00610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1EAD" w14:textId="77777777" w:rsidR="00FB6FB5" w:rsidRDefault="00610EFC">
    <w:pPr>
      <w:pBdr>
        <w:bottom w:val="single" w:sz="8" w:space="6" w:color="C65D00"/>
      </w:pBdr>
      <w:spacing w:after="180"/>
    </w:pPr>
    <w:r>
      <w:rPr>
        <w:b/>
        <w:bCs/>
        <w:color w:val="2E4A62"/>
        <w:spacing w:val="10"/>
        <w:sz w:val="21"/>
        <w:szCs w:val="21"/>
      </w:rPr>
      <w:t>NACCL</w:t>
    </w:r>
    <w:r>
      <w:rPr>
        <w:color w:val="7F7F7F"/>
        <w:sz w:val="18"/>
        <w:szCs w:val="18"/>
      </w:rPr>
      <w:t xml:space="preserve">   National Association of Continuum of Care Leaders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4962" w14:textId="77777777" w:rsidR="00FB6FB5" w:rsidRDefault="00FB6F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73C25"/>
    <w:multiLevelType w:val="hybridMultilevel"/>
    <w:tmpl w:val="B8122E78"/>
    <w:lvl w:ilvl="0" w:tplc="13DC67A8">
      <w:start w:val="1"/>
      <w:numFmt w:val="bullet"/>
      <w:lvlText w:val="●"/>
      <w:lvlJc w:val="left"/>
      <w:pPr>
        <w:ind w:left="720" w:hanging="360"/>
      </w:pPr>
    </w:lvl>
    <w:lvl w:ilvl="1" w:tplc="0D9C7C74">
      <w:start w:val="1"/>
      <w:numFmt w:val="bullet"/>
      <w:lvlText w:val="○"/>
      <w:lvlJc w:val="left"/>
      <w:pPr>
        <w:ind w:left="1440" w:hanging="360"/>
      </w:pPr>
    </w:lvl>
    <w:lvl w:ilvl="2" w:tplc="DF5EB42A">
      <w:start w:val="1"/>
      <w:numFmt w:val="bullet"/>
      <w:lvlText w:val="■"/>
      <w:lvlJc w:val="left"/>
      <w:pPr>
        <w:ind w:left="2160" w:hanging="360"/>
      </w:pPr>
    </w:lvl>
    <w:lvl w:ilvl="3" w:tplc="62CCA42C">
      <w:start w:val="1"/>
      <w:numFmt w:val="bullet"/>
      <w:lvlText w:val="●"/>
      <w:lvlJc w:val="left"/>
      <w:pPr>
        <w:ind w:left="2880" w:hanging="360"/>
      </w:pPr>
    </w:lvl>
    <w:lvl w:ilvl="4" w:tplc="9F506BB0">
      <w:start w:val="1"/>
      <w:numFmt w:val="bullet"/>
      <w:lvlText w:val="○"/>
      <w:lvlJc w:val="left"/>
      <w:pPr>
        <w:ind w:left="3600" w:hanging="360"/>
      </w:pPr>
    </w:lvl>
    <w:lvl w:ilvl="5" w:tplc="DC1E28E6">
      <w:start w:val="1"/>
      <w:numFmt w:val="bullet"/>
      <w:lvlText w:val="■"/>
      <w:lvlJc w:val="left"/>
      <w:pPr>
        <w:ind w:left="4320" w:hanging="360"/>
      </w:pPr>
    </w:lvl>
    <w:lvl w:ilvl="6" w:tplc="5DD295C0">
      <w:start w:val="1"/>
      <w:numFmt w:val="bullet"/>
      <w:lvlText w:val="●"/>
      <w:lvlJc w:val="left"/>
      <w:pPr>
        <w:ind w:left="5040" w:hanging="360"/>
      </w:pPr>
    </w:lvl>
    <w:lvl w:ilvl="7" w:tplc="70501474">
      <w:start w:val="1"/>
      <w:numFmt w:val="bullet"/>
      <w:lvlText w:val="●"/>
      <w:lvlJc w:val="left"/>
      <w:pPr>
        <w:ind w:left="5760" w:hanging="360"/>
      </w:pPr>
    </w:lvl>
    <w:lvl w:ilvl="8" w:tplc="24D2ECA2">
      <w:start w:val="1"/>
      <w:numFmt w:val="bullet"/>
      <w:lvlText w:val="●"/>
      <w:lvlJc w:val="left"/>
      <w:pPr>
        <w:ind w:left="6480" w:hanging="360"/>
      </w:pPr>
    </w:lvl>
  </w:abstractNum>
  <w:abstractNum w:abstractNumId="1" w15:restartNumberingAfterBreak="0">
    <w:nsid w:val="34543910"/>
    <w:multiLevelType w:val="hybridMultilevel"/>
    <w:tmpl w:val="A79EE66A"/>
    <w:lvl w:ilvl="0" w:tplc="2F2AC76C">
      <w:start w:val="1"/>
      <w:numFmt w:val="bullet"/>
      <w:lvlText w:val="•"/>
      <w:lvlJc w:val="left"/>
      <w:pPr>
        <w:ind w:left="374" w:hanging="230"/>
      </w:pPr>
      <w:rPr>
        <w:rFonts w:ascii="Calibri" w:eastAsia="Calibri" w:hAnsi="Calibri" w:cs="Calibri"/>
        <w:color w:val="C65D00"/>
        <w:sz w:val="22"/>
        <w:szCs w:val="22"/>
      </w:rPr>
    </w:lvl>
    <w:lvl w:ilvl="1" w:tplc="09DCBF3E">
      <w:numFmt w:val="decimal"/>
      <w:lvlText w:val=""/>
      <w:lvlJc w:val="left"/>
    </w:lvl>
    <w:lvl w:ilvl="2" w:tplc="244A8ED8">
      <w:numFmt w:val="decimal"/>
      <w:lvlText w:val=""/>
      <w:lvlJc w:val="left"/>
    </w:lvl>
    <w:lvl w:ilvl="3" w:tplc="956E025C">
      <w:numFmt w:val="decimal"/>
      <w:lvlText w:val=""/>
      <w:lvlJc w:val="left"/>
    </w:lvl>
    <w:lvl w:ilvl="4" w:tplc="BA48EC04">
      <w:numFmt w:val="decimal"/>
      <w:lvlText w:val=""/>
      <w:lvlJc w:val="left"/>
    </w:lvl>
    <w:lvl w:ilvl="5" w:tplc="023E6316">
      <w:numFmt w:val="decimal"/>
      <w:lvlText w:val=""/>
      <w:lvlJc w:val="left"/>
    </w:lvl>
    <w:lvl w:ilvl="6" w:tplc="E31C6938">
      <w:numFmt w:val="decimal"/>
      <w:lvlText w:val=""/>
      <w:lvlJc w:val="left"/>
    </w:lvl>
    <w:lvl w:ilvl="7" w:tplc="0644C938">
      <w:numFmt w:val="decimal"/>
      <w:lvlText w:val=""/>
      <w:lvlJc w:val="left"/>
    </w:lvl>
    <w:lvl w:ilvl="8" w:tplc="154C4500">
      <w:numFmt w:val="decimal"/>
      <w:lvlText w:val=""/>
      <w:lvlJc w:val="left"/>
    </w:lvl>
  </w:abstractNum>
  <w:num w:numId="1" w16cid:durableId="1013339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FB5"/>
    <w:rsid w:val="001667BC"/>
    <w:rsid w:val="00610EFC"/>
    <w:rsid w:val="00DB74D8"/>
    <w:rsid w:val="00E766E5"/>
    <w:rsid w:val="00FB6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90AFF"/>
  <w15:docId w15:val="{EB020F15-A31C-4871-813A-AC6025FFC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456</TotalTime>
  <Pages>4</Pages>
  <Words>1320</Words>
  <Characters>7529</Characters>
  <Application>Microsoft Office Word</Application>
  <DocSecurity>0</DocSecurity>
  <Lines>62</Lines>
  <Paragraphs>17</Paragraphs>
  <ScaleCrop>false</ScaleCrop>
  <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NACCL: Overview and Frequently Asked Questions</dc:title>
  <dc:creator>Jenae Bjelland</dc:creator>
  <cp:lastModifiedBy>Jenae Bjelland</cp:lastModifiedBy>
  <cp:revision>2</cp:revision>
  <dcterms:created xsi:type="dcterms:W3CDTF">2026-08-24T14:30:00Z</dcterms:created>
  <dcterms:modified xsi:type="dcterms:W3CDTF">2026-08-25T00:10:00Z</dcterms:modified>
</cp:coreProperties>
</file>