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D162F" w14:textId="77777777" w:rsidR="00CB1DA0" w:rsidRDefault="00DE4B72">
      <w:pPr>
        <w:spacing w:after="30"/>
      </w:pPr>
      <w:r>
        <w:rPr>
          <w:b/>
          <w:bCs/>
          <w:color w:val="2E4A62"/>
          <w:spacing w:val="24"/>
          <w:sz w:val="44"/>
          <w:szCs w:val="44"/>
        </w:rPr>
        <w:t>NACCL</w:t>
      </w:r>
    </w:p>
    <w:p w14:paraId="7F5D1630" w14:textId="77777777" w:rsidR="00CB1DA0" w:rsidRDefault="00DE4B72">
      <w:pPr>
        <w:pBdr>
          <w:bottom w:val="single" w:sz="12" w:space="8" w:color="C65D00"/>
        </w:pBdr>
        <w:spacing w:after="200"/>
      </w:pPr>
      <w:r>
        <w:rPr>
          <w:sz w:val="24"/>
          <w:szCs w:val="24"/>
        </w:rPr>
        <w:t>Brand Direction</w:t>
      </w:r>
    </w:p>
    <w:p w14:paraId="7F5D1631" w14:textId="77777777" w:rsidR="00CB1DA0" w:rsidRDefault="00DE4B72">
      <w:pPr>
        <w:spacing w:after="150" w:line="248" w:lineRule="auto"/>
      </w:pPr>
      <w:r>
        <w:t>This is the brand direction already established through the materials NACCL has been using since last fall: the founding documents, the network emails, the member map, and the spotlights. The website and logo should build on it rather than introduce a new identity. A short list of items still being finalized appears at the end. A separate technical specification covers implementation detail for the web and logo teams.</w:t>
      </w:r>
    </w:p>
    <w:p w14:paraId="7F5D1632" w14:textId="77777777" w:rsidR="00CB1DA0" w:rsidRDefault="00DE4B72">
      <w:pPr>
        <w:shd w:val="clear" w:color="auto" w:fill="2E4A62"/>
        <w:spacing w:before="170" w:after="115"/>
        <w:ind w:left="100" w:right="100"/>
      </w:pPr>
      <w:r>
        <w:rPr>
          <w:b/>
          <w:bCs/>
          <w:color w:val="FFFFFF"/>
          <w:spacing w:val="6"/>
          <w:sz w:val="23"/>
          <w:szCs w:val="23"/>
        </w:rPr>
        <w:t>Color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2350"/>
        <w:gridCol w:w="5760"/>
      </w:tblGrid>
      <w:tr w:rsidR="00CB1DA0" w14:paraId="7F5D1636" w14:textId="77777777">
        <w:tc>
          <w:tcPr>
            <w:tcW w:w="1250" w:type="dxa"/>
            <w:tcBorders>
              <w:bottom w:val="single" w:sz="4" w:space="0" w:color="D9D9D9"/>
            </w:tcBorders>
            <w:shd w:val="clear" w:color="auto" w:fill="C65D00"/>
            <w:tcMar>
              <w:top w:w="140" w:type="dxa"/>
              <w:left w:w="110" w:type="dxa"/>
              <w:bottom w:w="140" w:type="dxa"/>
              <w:right w:w="60" w:type="dxa"/>
            </w:tcMar>
          </w:tcPr>
          <w:p w14:paraId="7F5D1633" w14:textId="77777777" w:rsidR="00CB1DA0" w:rsidRDefault="00DE4B72">
            <w:pPr>
              <w:spacing w:line="210" w:lineRule="auto"/>
            </w:pPr>
            <w:r>
              <w:rPr>
                <w:b/>
                <w:bCs/>
                <w:color w:val="FFFFFF"/>
                <w:sz w:val="18"/>
                <w:szCs w:val="18"/>
              </w:rPr>
              <w:t>#C65D00</w:t>
            </w:r>
          </w:p>
        </w:tc>
        <w:tc>
          <w:tcPr>
            <w:tcW w:w="2350" w:type="dxa"/>
            <w:tcBorders>
              <w:bottom w:val="single" w:sz="4" w:space="0" w:color="D9D9D9"/>
            </w:tcBorders>
            <w:tcMar>
              <w:top w:w="100" w:type="dxa"/>
              <w:left w:w="110" w:type="dxa"/>
              <w:bottom w:w="100" w:type="dxa"/>
              <w:right w:w="60" w:type="dxa"/>
            </w:tcMar>
          </w:tcPr>
          <w:p w14:paraId="7F5D1634" w14:textId="77777777" w:rsidR="00CB1DA0" w:rsidRDefault="00DE4B72">
            <w:pPr>
              <w:spacing w:line="225" w:lineRule="auto"/>
            </w:pPr>
            <w:r>
              <w:rPr>
                <w:b/>
                <w:bCs/>
                <w:sz w:val="21"/>
                <w:szCs w:val="21"/>
              </w:rPr>
              <w:t>Primary orange</w:t>
            </w:r>
          </w:p>
        </w:tc>
        <w:tc>
          <w:tcPr>
            <w:tcW w:w="5760" w:type="dxa"/>
            <w:tcBorders>
              <w:bottom w:val="single" w:sz="4" w:space="0" w:color="D9D9D9"/>
            </w:tcBorders>
            <w:tcMar>
              <w:top w:w="100" w:type="dxa"/>
              <w:left w:w="110" w:type="dxa"/>
              <w:bottom w:w="100" w:type="dxa"/>
              <w:right w:w="60" w:type="dxa"/>
            </w:tcMar>
          </w:tcPr>
          <w:p w14:paraId="7F5D1635" w14:textId="77777777" w:rsidR="00CB1DA0" w:rsidRDefault="00DE4B72">
            <w:pPr>
              <w:spacing w:line="225" w:lineRule="auto"/>
            </w:pPr>
            <w:r>
              <w:rPr>
                <w:sz w:val="21"/>
                <w:szCs w:val="21"/>
              </w:rPr>
              <w:t>Headings, accents, and calls to action</w:t>
            </w:r>
          </w:p>
        </w:tc>
      </w:tr>
      <w:tr w:rsidR="00CB1DA0" w14:paraId="7F5D163A" w14:textId="77777777">
        <w:tc>
          <w:tcPr>
            <w:tcW w:w="1250" w:type="dxa"/>
            <w:tcBorders>
              <w:bottom w:val="single" w:sz="4" w:space="0" w:color="D9D9D9"/>
            </w:tcBorders>
            <w:shd w:val="clear" w:color="auto" w:fill="2E4A62"/>
            <w:tcMar>
              <w:top w:w="140" w:type="dxa"/>
              <w:left w:w="110" w:type="dxa"/>
              <w:bottom w:w="140" w:type="dxa"/>
              <w:right w:w="60" w:type="dxa"/>
            </w:tcMar>
          </w:tcPr>
          <w:p w14:paraId="7F5D1637" w14:textId="77777777" w:rsidR="00CB1DA0" w:rsidRDefault="00DE4B72">
            <w:pPr>
              <w:spacing w:line="210" w:lineRule="auto"/>
            </w:pPr>
            <w:r>
              <w:rPr>
                <w:b/>
                <w:bCs/>
                <w:color w:val="FFFFFF"/>
                <w:sz w:val="18"/>
                <w:szCs w:val="18"/>
              </w:rPr>
              <w:t>#2E4A62</w:t>
            </w:r>
          </w:p>
        </w:tc>
        <w:tc>
          <w:tcPr>
            <w:tcW w:w="2350" w:type="dxa"/>
            <w:tcBorders>
              <w:bottom w:val="single" w:sz="4" w:space="0" w:color="D9D9D9"/>
            </w:tcBorders>
            <w:shd w:val="clear" w:color="auto" w:fill="F7F7F5"/>
            <w:tcMar>
              <w:top w:w="100" w:type="dxa"/>
              <w:left w:w="110" w:type="dxa"/>
              <w:bottom w:w="100" w:type="dxa"/>
              <w:right w:w="60" w:type="dxa"/>
            </w:tcMar>
          </w:tcPr>
          <w:p w14:paraId="7F5D1638" w14:textId="77777777" w:rsidR="00CB1DA0" w:rsidRDefault="00DE4B72">
            <w:pPr>
              <w:spacing w:line="225" w:lineRule="auto"/>
            </w:pPr>
            <w:r>
              <w:rPr>
                <w:b/>
                <w:bCs/>
                <w:sz w:val="21"/>
                <w:szCs w:val="21"/>
              </w:rPr>
              <w:t>Slate blue</w:t>
            </w:r>
          </w:p>
        </w:tc>
        <w:tc>
          <w:tcPr>
            <w:tcW w:w="5760" w:type="dxa"/>
            <w:tcBorders>
              <w:bottom w:val="single" w:sz="4" w:space="0" w:color="D9D9D9"/>
            </w:tcBorders>
            <w:shd w:val="clear" w:color="auto" w:fill="F7F7F5"/>
            <w:tcMar>
              <w:top w:w="100" w:type="dxa"/>
              <w:left w:w="110" w:type="dxa"/>
              <w:bottom w:w="100" w:type="dxa"/>
              <w:right w:w="60" w:type="dxa"/>
            </w:tcMar>
          </w:tcPr>
          <w:p w14:paraId="7F5D1639" w14:textId="77777777" w:rsidR="00CB1DA0" w:rsidRDefault="00DE4B72">
            <w:pPr>
              <w:spacing w:line="225" w:lineRule="auto"/>
            </w:pPr>
            <w:r>
              <w:rPr>
                <w:sz w:val="21"/>
                <w:szCs w:val="21"/>
              </w:rPr>
              <w:t>Section bars, subheads, and text emphasis</w:t>
            </w:r>
          </w:p>
        </w:tc>
      </w:tr>
      <w:tr w:rsidR="00CB1DA0" w14:paraId="7F5D163E" w14:textId="77777777">
        <w:tc>
          <w:tcPr>
            <w:tcW w:w="1250" w:type="dxa"/>
            <w:tcBorders>
              <w:bottom w:val="single" w:sz="4" w:space="0" w:color="D9D9D9"/>
            </w:tcBorders>
            <w:shd w:val="clear" w:color="auto" w:fill="C4953A"/>
            <w:tcMar>
              <w:top w:w="140" w:type="dxa"/>
              <w:left w:w="110" w:type="dxa"/>
              <w:bottom w:w="140" w:type="dxa"/>
              <w:right w:w="60" w:type="dxa"/>
            </w:tcMar>
          </w:tcPr>
          <w:p w14:paraId="7F5D163B" w14:textId="77777777" w:rsidR="00CB1DA0" w:rsidRDefault="00DE4B72">
            <w:pPr>
              <w:spacing w:line="210" w:lineRule="auto"/>
            </w:pPr>
            <w:r>
              <w:rPr>
                <w:b/>
                <w:bCs/>
                <w:color w:val="FFFFFF"/>
                <w:sz w:val="18"/>
                <w:szCs w:val="18"/>
              </w:rPr>
              <w:t>#C4953A</w:t>
            </w:r>
          </w:p>
        </w:tc>
        <w:tc>
          <w:tcPr>
            <w:tcW w:w="2350" w:type="dxa"/>
            <w:tcBorders>
              <w:bottom w:val="single" w:sz="4" w:space="0" w:color="D9D9D9"/>
            </w:tcBorders>
            <w:tcMar>
              <w:top w:w="100" w:type="dxa"/>
              <w:left w:w="110" w:type="dxa"/>
              <w:bottom w:w="100" w:type="dxa"/>
              <w:right w:w="60" w:type="dxa"/>
            </w:tcMar>
          </w:tcPr>
          <w:p w14:paraId="7F5D163C" w14:textId="77777777" w:rsidR="00CB1DA0" w:rsidRDefault="00DE4B72">
            <w:pPr>
              <w:spacing w:line="225" w:lineRule="auto"/>
            </w:pPr>
            <w:r>
              <w:rPr>
                <w:b/>
                <w:bCs/>
                <w:sz w:val="21"/>
                <w:szCs w:val="21"/>
              </w:rPr>
              <w:t>Gold</w:t>
            </w:r>
          </w:p>
        </w:tc>
        <w:tc>
          <w:tcPr>
            <w:tcW w:w="5760" w:type="dxa"/>
            <w:tcBorders>
              <w:bottom w:val="single" w:sz="4" w:space="0" w:color="D9D9D9"/>
            </w:tcBorders>
            <w:tcMar>
              <w:top w:w="100" w:type="dxa"/>
              <w:left w:w="110" w:type="dxa"/>
              <w:bottom w:w="100" w:type="dxa"/>
              <w:right w:w="60" w:type="dxa"/>
            </w:tcMar>
          </w:tcPr>
          <w:p w14:paraId="7F5D163D" w14:textId="77777777" w:rsidR="00CB1DA0" w:rsidRDefault="00DE4B72">
            <w:pPr>
              <w:spacing w:line="225" w:lineRule="auto"/>
            </w:pPr>
            <w:r>
              <w:rPr>
                <w:sz w:val="21"/>
                <w:szCs w:val="21"/>
              </w:rPr>
              <w:t>Accent only. Highlights, rules, and map fills</w:t>
            </w:r>
          </w:p>
        </w:tc>
      </w:tr>
      <w:tr w:rsidR="00CB1DA0" w14:paraId="7F5D1642" w14:textId="77777777">
        <w:tc>
          <w:tcPr>
            <w:tcW w:w="1250" w:type="dxa"/>
            <w:tcBorders>
              <w:bottom w:val="single" w:sz="4" w:space="0" w:color="D9D9D9"/>
            </w:tcBorders>
            <w:shd w:val="clear" w:color="auto" w:fill="2D2D2D"/>
            <w:tcMar>
              <w:top w:w="140" w:type="dxa"/>
              <w:left w:w="110" w:type="dxa"/>
              <w:bottom w:w="140" w:type="dxa"/>
              <w:right w:w="60" w:type="dxa"/>
            </w:tcMar>
          </w:tcPr>
          <w:p w14:paraId="7F5D163F" w14:textId="77777777" w:rsidR="00CB1DA0" w:rsidRDefault="00DE4B72">
            <w:pPr>
              <w:spacing w:line="210" w:lineRule="auto"/>
            </w:pPr>
            <w:r>
              <w:rPr>
                <w:b/>
                <w:bCs/>
                <w:color w:val="FFFFFF"/>
                <w:sz w:val="18"/>
                <w:szCs w:val="18"/>
              </w:rPr>
              <w:t>#2D2D2D</w:t>
            </w:r>
          </w:p>
        </w:tc>
        <w:tc>
          <w:tcPr>
            <w:tcW w:w="2350" w:type="dxa"/>
            <w:tcBorders>
              <w:bottom w:val="single" w:sz="4" w:space="0" w:color="D9D9D9"/>
            </w:tcBorders>
            <w:shd w:val="clear" w:color="auto" w:fill="F7F7F5"/>
            <w:tcMar>
              <w:top w:w="100" w:type="dxa"/>
              <w:left w:w="110" w:type="dxa"/>
              <w:bottom w:w="100" w:type="dxa"/>
              <w:right w:w="60" w:type="dxa"/>
            </w:tcMar>
          </w:tcPr>
          <w:p w14:paraId="7F5D1640" w14:textId="77777777" w:rsidR="00CB1DA0" w:rsidRDefault="00DE4B72">
            <w:pPr>
              <w:spacing w:line="225" w:lineRule="auto"/>
            </w:pPr>
            <w:r>
              <w:rPr>
                <w:b/>
                <w:bCs/>
                <w:sz w:val="21"/>
                <w:szCs w:val="21"/>
              </w:rPr>
              <w:t>Charcoal</w:t>
            </w:r>
          </w:p>
        </w:tc>
        <w:tc>
          <w:tcPr>
            <w:tcW w:w="5760" w:type="dxa"/>
            <w:tcBorders>
              <w:bottom w:val="single" w:sz="4" w:space="0" w:color="D9D9D9"/>
            </w:tcBorders>
            <w:shd w:val="clear" w:color="auto" w:fill="F7F7F5"/>
            <w:tcMar>
              <w:top w:w="100" w:type="dxa"/>
              <w:left w:w="110" w:type="dxa"/>
              <w:bottom w:w="100" w:type="dxa"/>
              <w:right w:w="60" w:type="dxa"/>
            </w:tcMar>
          </w:tcPr>
          <w:p w14:paraId="7F5D1641" w14:textId="77777777" w:rsidR="00CB1DA0" w:rsidRDefault="00DE4B72">
            <w:pPr>
              <w:spacing w:line="225" w:lineRule="auto"/>
            </w:pPr>
            <w:r>
              <w:rPr>
                <w:sz w:val="21"/>
                <w:szCs w:val="21"/>
              </w:rPr>
              <w:t>Body text and dark panels</w:t>
            </w:r>
          </w:p>
        </w:tc>
      </w:tr>
      <w:tr w:rsidR="00CB1DA0" w14:paraId="7F5D1646" w14:textId="77777777">
        <w:tc>
          <w:tcPr>
            <w:tcW w:w="1250" w:type="dxa"/>
            <w:tcBorders>
              <w:bottom w:val="single" w:sz="4" w:space="0" w:color="D9D9D9"/>
            </w:tcBorders>
            <w:shd w:val="clear" w:color="auto" w:fill="E0DEDA"/>
            <w:tcMar>
              <w:top w:w="140" w:type="dxa"/>
              <w:left w:w="110" w:type="dxa"/>
              <w:bottom w:w="140" w:type="dxa"/>
              <w:right w:w="60" w:type="dxa"/>
            </w:tcMar>
          </w:tcPr>
          <w:p w14:paraId="7F5D1643" w14:textId="77777777" w:rsidR="00CB1DA0" w:rsidRDefault="00DE4B72">
            <w:pPr>
              <w:spacing w:line="210" w:lineRule="auto"/>
            </w:pPr>
            <w:r>
              <w:rPr>
                <w:b/>
                <w:bCs/>
                <w:sz w:val="18"/>
                <w:szCs w:val="18"/>
              </w:rPr>
              <w:t>#E0DEDA</w:t>
            </w:r>
          </w:p>
        </w:tc>
        <w:tc>
          <w:tcPr>
            <w:tcW w:w="2350" w:type="dxa"/>
            <w:tcBorders>
              <w:bottom w:val="single" w:sz="4" w:space="0" w:color="D9D9D9"/>
            </w:tcBorders>
            <w:tcMar>
              <w:top w:w="100" w:type="dxa"/>
              <w:left w:w="110" w:type="dxa"/>
              <w:bottom w:w="100" w:type="dxa"/>
              <w:right w:w="60" w:type="dxa"/>
            </w:tcMar>
          </w:tcPr>
          <w:p w14:paraId="7F5D1644" w14:textId="77777777" w:rsidR="00CB1DA0" w:rsidRDefault="00DE4B72">
            <w:pPr>
              <w:spacing w:line="225" w:lineRule="auto"/>
            </w:pPr>
            <w:r>
              <w:rPr>
                <w:b/>
                <w:bCs/>
                <w:sz w:val="21"/>
                <w:szCs w:val="21"/>
              </w:rPr>
              <w:t>Light gray</w:t>
            </w:r>
          </w:p>
        </w:tc>
        <w:tc>
          <w:tcPr>
            <w:tcW w:w="5760" w:type="dxa"/>
            <w:tcBorders>
              <w:bottom w:val="single" w:sz="4" w:space="0" w:color="D9D9D9"/>
            </w:tcBorders>
            <w:tcMar>
              <w:top w:w="100" w:type="dxa"/>
              <w:left w:w="110" w:type="dxa"/>
              <w:bottom w:w="100" w:type="dxa"/>
              <w:right w:w="60" w:type="dxa"/>
            </w:tcMar>
          </w:tcPr>
          <w:p w14:paraId="7F5D1645" w14:textId="77777777" w:rsidR="00CB1DA0" w:rsidRDefault="00DE4B72">
            <w:pPr>
              <w:spacing w:line="225" w:lineRule="auto"/>
            </w:pPr>
            <w:r>
              <w:rPr>
                <w:sz w:val="21"/>
                <w:szCs w:val="21"/>
              </w:rPr>
              <w:t>Neutral base. Map ground and dividers</w:t>
            </w:r>
          </w:p>
        </w:tc>
      </w:tr>
      <w:tr w:rsidR="00CB1DA0" w14:paraId="7F5D164A" w14:textId="77777777">
        <w:tc>
          <w:tcPr>
            <w:tcW w:w="1250" w:type="dxa"/>
            <w:tcBorders>
              <w:bottom w:val="single" w:sz="4" w:space="0" w:color="D9D9D9"/>
            </w:tcBorders>
            <w:shd w:val="clear" w:color="auto" w:fill="FDF6ED"/>
            <w:tcMar>
              <w:top w:w="140" w:type="dxa"/>
              <w:left w:w="110" w:type="dxa"/>
              <w:bottom w:w="140" w:type="dxa"/>
              <w:right w:w="60" w:type="dxa"/>
            </w:tcMar>
          </w:tcPr>
          <w:p w14:paraId="7F5D1647" w14:textId="77777777" w:rsidR="00CB1DA0" w:rsidRDefault="00DE4B72">
            <w:pPr>
              <w:spacing w:line="210" w:lineRule="auto"/>
            </w:pPr>
            <w:r>
              <w:rPr>
                <w:b/>
                <w:bCs/>
                <w:sz w:val="18"/>
                <w:szCs w:val="18"/>
              </w:rPr>
              <w:t>#FDF6ED</w:t>
            </w:r>
          </w:p>
        </w:tc>
        <w:tc>
          <w:tcPr>
            <w:tcW w:w="2350" w:type="dxa"/>
            <w:tcBorders>
              <w:bottom w:val="single" w:sz="4" w:space="0" w:color="D9D9D9"/>
            </w:tcBorders>
            <w:shd w:val="clear" w:color="auto" w:fill="F7F7F5"/>
            <w:tcMar>
              <w:top w:w="100" w:type="dxa"/>
              <w:left w:w="110" w:type="dxa"/>
              <w:bottom w:w="100" w:type="dxa"/>
              <w:right w:w="60" w:type="dxa"/>
            </w:tcMar>
          </w:tcPr>
          <w:p w14:paraId="7F5D1648" w14:textId="77777777" w:rsidR="00CB1DA0" w:rsidRDefault="00DE4B72">
            <w:pPr>
              <w:spacing w:line="225" w:lineRule="auto"/>
            </w:pPr>
            <w:r>
              <w:rPr>
                <w:b/>
                <w:bCs/>
                <w:sz w:val="21"/>
                <w:szCs w:val="21"/>
              </w:rPr>
              <w:t>Cream</w:t>
            </w:r>
          </w:p>
        </w:tc>
        <w:tc>
          <w:tcPr>
            <w:tcW w:w="5760" w:type="dxa"/>
            <w:tcBorders>
              <w:bottom w:val="single" w:sz="4" w:space="0" w:color="D9D9D9"/>
            </w:tcBorders>
            <w:shd w:val="clear" w:color="auto" w:fill="F7F7F5"/>
            <w:tcMar>
              <w:top w:w="100" w:type="dxa"/>
              <w:left w:w="110" w:type="dxa"/>
              <w:bottom w:w="100" w:type="dxa"/>
              <w:right w:w="60" w:type="dxa"/>
            </w:tcMar>
          </w:tcPr>
          <w:p w14:paraId="7F5D1649" w14:textId="77777777" w:rsidR="00CB1DA0" w:rsidRDefault="00DE4B72">
            <w:pPr>
              <w:spacing w:line="225" w:lineRule="auto"/>
            </w:pPr>
            <w:r>
              <w:rPr>
                <w:sz w:val="21"/>
                <w:szCs w:val="21"/>
              </w:rPr>
              <w:t>Warm background panels and pull quotes</w:t>
            </w:r>
          </w:p>
        </w:tc>
      </w:tr>
    </w:tbl>
    <w:p w14:paraId="7F5D164B" w14:textId="77777777" w:rsidR="00CB1DA0" w:rsidRDefault="00CB1DA0">
      <w:pPr>
        <w:spacing w:after="70" w:line="248" w:lineRule="auto"/>
      </w:pPr>
    </w:p>
    <w:p w14:paraId="7F5D164C" w14:textId="77777777" w:rsidR="00CB1DA0" w:rsidRDefault="00DE4B72">
      <w:pPr>
        <w:spacing w:after="120" w:line="248" w:lineRule="auto"/>
      </w:pPr>
      <w:r>
        <w:t>Orange and slate carry the identity. Gold accents. Charcoal reads as text. The two light tones are backgrounds. These are NACCL's core brand colors, and additional tints or functional web colors should be derived from this palette.</w:t>
      </w:r>
    </w:p>
    <w:p w14:paraId="7F5D164D" w14:textId="77777777" w:rsidR="00CB1DA0" w:rsidRDefault="00DE4B72">
      <w:pPr>
        <w:keepNext/>
        <w:spacing w:before="130" w:after="40" w:line="248" w:lineRule="auto"/>
      </w:pPr>
      <w:r>
        <w:rPr>
          <w:b/>
          <w:bCs/>
          <w:color w:val="C65D00"/>
          <w:sz w:val="23"/>
          <w:szCs w:val="23"/>
        </w:rPr>
        <w:t>Three rules that hold everywhere</w:t>
      </w:r>
    </w:p>
    <w:p w14:paraId="7F5D164E" w14:textId="77777777" w:rsidR="00CB1DA0" w:rsidRDefault="00DE4B72">
      <w:pPr>
        <w:pStyle w:val="ListParagraph"/>
        <w:numPr>
          <w:ilvl w:val="0"/>
          <w:numId w:val="2"/>
        </w:numPr>
        <w:spacing w:after="56" w:line="242" w:lineRule="auto"/>
      </w:pPr>
      <w:r>
        <w:rPr>
          <w:b/>
          <w:bCs/>
        </w:rPr>
        <w:t xml:space="preserve">Slate and charcoal are safe for body text </w:t>
      </w:r>
      <w:r>
        <w:t>at any size, on white or on either light background.</w:t>
      </w:r>
    </w:p>
    <w:p w14:paraId="7F5D164F" w14:textId="77777777" w:rsidR="00CB1DA0" w:rsidRDefault="00DE4B72">
      <w:pPr>
        <w:pStyle w:val="ListParagraph"/>
        <w:numPr>
          <w:ilvl w:val="0"/>
          <w:numId w:val="2"/>
        </w:numPr>
        <w:spacing w:after="56" w:line="242" w:lineRule="auto"/>
      </w:pPr>
      <w:r>
        <w:rPr>
          <w:b/>
          <w:bCs/>
        </w:rPr>
        <w:t xml:space="preserve">Orange is display and accent only. </w:t>
      </w:r>
      <w:r>
        <w:t>Headings, buttons, and rules. It falls short of accessibility standards for small text, and the technical specification gives the web team a compliant variant for links.</w:t>
      </w:r>
    </w:p>
    <w:p w14:paraId="7F5D1650" w14:textId="77777777" w:rsidR="00CB1DA0" w:rsidRDefault="00DE4B72">
      <w:pPr>
        <w:pStyle w:val="ListParagraph"/>
        <w:numPr>
          <w:ilvl w:val="0"/>
          <w:numId w:val="2"/>
        </w:numPr>
        <w:spacing w:after="56" w:line="242" w:lineRule="auto"/>
      </w:pPr>
      <w:r>
        <w:rPr>
          <w:b/>
          <w:bCs/>
        </w:rPr>
        <w:t xml:space="preserve">Gold is never text. </w:t>
      </w:r>
      <w:r>
        <w:t>At any size, on any background. Fills, rules, icons, and map shading only.</w:t>
      </w:r>
    </w:p>
    <w:p w14:paraId="7F5D1651" w14:textId="77777777" w:rsidR="00CB1DA0" w:rsidRDefault="00DE4B72">
      <w:pPr>
        <w:shd w:val="clear" w:color="auto" w:fill="2E4A62"/>
        <w:spacing w:before="170" w:after="115"/>
        <w:ind w:left="100" w:right="100"/>
      </w:pPr>
      <w:r>
        <w:rPr>
          <w:b/>
          <w:bCs/>
          <w:color w:val="FFFFFF"/>
          <w:spacing w:val="6"/>
          <w:sz w:val="23"/>
          <w:szCs w:val="23"/>
        </w:rPr>
        <w:t>Typography</w:t>
      </w:r>
    </w:p>
    <w:p w14:paraId="7F5D1652" w14:textId="77777777" w:rsidR="00CB1DA0" w:rsidRDefault="00DE4B72">
      <w:pPr>
        <w:spacing w:after="110" w:line="248" w:lineRule="auto"/>
      </w:pPr>
      <w:r>
        <w:t>Calibri is the working typeface across NACCL documents, at 12 point for body copy. The document hierarchy carries directly to the website:</w:t>
      </w:r>
    </w:p>
    <w:p w14:paraId="7F5D1653" w14:textId="77777777" w:rsidR="00CB1DA0" w:rsidRDefault="00DE4B72">
      <w:pPr>
        <w:pStyle w:val="ListParagraph"/>
        <w:numPr>
          <w:ilvl w:val="0"/>
          <w:numId w:val="2"/>
        </w:numPr>
        <w:spacing w:after="56" w:line="242" w:lineRule="auto"/>
      </w:pPr>
      <w:r>
        <w:t>Wordmark: NACCL in bold slate, letter-spaced, with the full name beneath in charcoal.</w:t>
      </w:r>
    </w:p>
    <w:p w14:paraId="7F5D1654" w14:textId="77777777" w:rsidR="00CB1DA0" w:rsidRDefault="00DE4B72">
      <w:pPr>
        <w:pStyle w:val="ListParagraph"/>
        <w:numPr>
          <w:ilvl w:val="0"/>
          <w:numId w:val="2"/>
        </w:numPr>
        <w:spacing w:after="56" w:line="242" w:lineRule="auto"/>
      </w:pPr>
      <w:r>
        <w:t>Page titles in bold orange. Section bars in bold white on solid slate, normal case, never all capitals, which destroys the CoC casing.</w:t>
      </w:r>
    </w:p>
    <w:p w14:paraId="7F5D1655" w14:textId="77777777" w:rsidR="00CB1DA0" w:rsidRDefault="00DE4B72">
      <w:pPr>
        <w:pStyle w:val="ListParagraph"/>
        <w:numPr>
          <w:ilvl w:val="0"/>
          <w:numId w:val="2"/>
        </w:numPr>
        <w:spacing w:after="56" w:line="242" w:lineRule="auto"/>
      </w:pPr>
      <w:r>
        <w:t>Subheads in bold orange. Body copy in charcoal, left aligned, never justified.</w:t>
      </w:r>
    </w:p>
    <w:p w14:paraId="7F5D1656" w14:textId="77777777" w:rsidR="00CB1DA0" w:rsidRDefault="00DE4B72">
      <w:pPr>
        <w:spacing w:after="120" w:line="248" w:lineRule="auto"/>
      </w:pPr>
      <w:r>
        <w:t>Calibri cannot be served on a website, so a web typeface is still to be chosen. The web team will return with a recommendation.</w:t>
      </w:r>
    </w:p>
    <w:p w14:paraId="7F5D1657" w14:textId="77777777" w:rsidR="00CB1DA0" w:rsidRDefault="00DE4B72">
      <w:pPr>
        <w:shd w:val="clear" w:color="auto" w:fill="2E4A62"/>
        <w:spacing w:before="170" w:after="115"/>
        <w:ind w:left="100" w:right="100"/>
      </w:pPr>
      <w:r>
        <w:rPr>
          <w:b/>
          <w:bCs/>
          <w:color w:val="FFFFFF"/>
          <w:spacing w:val="6"/>
          <w:sz w:val="23"/>
          <w:szCs w:val="23"/>
        </w:rPr>
        <w:t>Website and Logo Direction</w:t>
      </w:r>
    </w:p>
    <w:p w14:paraId="7F5D1658" w14:textId="77777777" w:rsidR="00CB1DA0" w:rsidRDefault="00DE4B72">
      <w:pPr>
        <w:spacing w:after="110" w:line="248" w:lineRule="auto"/>
      </w:pPr>
      <w:r>
        <w:t>NACCL should read as a national professional association for CoCs, built and governed by CoC leaders. Professional, national, clear, and modern. Not the visual language of a nonprofit service provider.</w:t>
      </w:r>
    </w:p>
    <w:p w14:paraId="7F5D1659" w14:textId="77777777" w:rsidR="00CB1DA0" w:rsidRDefault="00DE4B72">
      <w:pPr>
        <w:keepNext/>
        <w:spacing w:before="130" w:after="40" w:line="248" w:lineRule="auto"/>
      </w:pPr>
      <w:r>
        <w:rPr>
          <w:b/>
          <w:bCs/>
          <w:color w:val="C65D00"/>
          <w:sz w:val="23"/>
          <w:szCs w:val="23"/>
        </w:rPr>
        <w:lastRenderedPageBreak/>
        <w:t>The logo needs to</w:t>
      </w:r>
    </w:p>
    <w:p w14:paraId="7F5D165A" w14:textId="77777777" w:rsidR="00CB1DA0" w:rsidRDefault="00DE4B72">
      <w:pPr>
        <w:pStyle w:val="ListParagraph"/>
        <w:numPr>
          <w:ilvl w:val="0"/>
          <w:numId w:val="2"/>
        </w:numPr>
        <w:spacing w:after="56" w:line="242" w:lineRule="auto"/>
      </w:pPr>
      <w:r>
        <w:t>Work in a single color, in slate, in charcoal, and reversed to white, before any color version is designed.</w:t>
      </w:r>
    </w:p>
    <w:p w14:paraId="7F5D165B" w14:textId="77777777" w:rsidR="00CB1DA0" w:rsidRDefault="00DE4B72">
      <w:pPr>
        <w:pStyle w:val="ListParagraph"/>
        <w:numPr>
          <w:ilvl w:val="0"/>
          <w:numId w:val="2"/>
        </w:numPr>
        <w:spacing w:after="56" w:line="242" w:lineRule="auto"/>
      </w:pPr>
      <w:r>
        <w:t>Stay legible at small sizes. Email signatures, favicons, and social avatars are the smallest real uses.</w:t>
      </w:r>
    </w:p>
    <w:p w14:paraId="7F5D165C" w14:textId="77777777" w:rsidR="00CB1DA0" w:rsidRDefault="00DE4B72">
      <w:pPr>
        <w:pStyle w:val="ListParagraph"/>
        <w:numPr>
          <w:ilvl w:val="0"/>
          <w:numId w:val="2"/>
        </w:numPr>
        <w:spacing w:after="56" w:line="242" w:lineRule="auto"/>
      </w:pPr>
      <w:r>
        <w:t>Exist in both horizontal and stacked versions, for the site header and for documents and social profiles.</w:t>
      </w:r>
    </w:p>
    <w:p w14:paraId="7F5D1662" w14:textId="77777777" w:rsidR="00CB1DA0" w:rsidRDefault="00DE4B72">
      <w:pPr>
        <w:keepNext/>
        <w:spacing w:before="130" w:after="40" w:line="248" w:lineRule="auto"/>
      </w:pPr>
      <w:r>
        <w:rPr>
          <w:b/>
          <w:bCs/>
          <w:color w:val="C65D00"/>
          <w:sz w:val="23"/>
          <w:szCs w:val="23"/>
        </w:rPr>
        <w:t>The website should</w:t>
      </w:r>
    </w:p>
    <w:p w14:paraId="7F5D1663" w14:textId="77777777" w:rsidR="00CB1DA0" w:rsidRDefault="00DE4B72">
      <w:pPr>
        <w:pStyle w:val="ListParagraph"/>
        <w:numPr>
          <w:ilvl w:val="0"/>
          <w:numId w:val="2"/>
        </w:numPr>
        <w:spacing w:after="56" w:line="242" w:lineRule="auto"/>
      </w:pPr>
      <w:r>
        <w:t>Match the existing NACCL materials visually rather than start a new identity.</w:t>
      </w:r>
    </w:p>
    <w:p w14:paraId="7F5D1664" w14:textId="77777777" w:rsidR="00CB1DA0" w:rsidRDefault="00DE4B72">
      <w:pPr>
        <w:pStyle w:val="ListParagraph"/>
        <w:numPr>
          <w:ilvl w:val="0"/>
          <w:numId w:val="2"/>
        </w:numPr>
        <w:spacing w:after="56" w:line="242" w:lineRule="auto"/>
      </w:pPr>
      <w:r>
        <w:t>Position NACCL as complementary to the national organizations already serving the field, never as a replacement.</w:t>
      </w:r>
    </w:p>
    <w:p w14:paraId="7F5D1665" w14:textId="77777777" w:rsidR="00CB1DA0" w:rsidRDefault="00DE4B72">
      <w:pPr>
        <w:pStyle w:val="ListParagraph"/>
        <w:numPr>
          <w:ilvl w:val="0"/>
          <w:numId w:val="2"/>
        </w:numPr>
        <w:spacing w:after="56" w:line="242" w:lineRule="auto"/>
      </w:pPr>
      <w:r>
        <w:t>Continue the established map and chart conventions, including the four-tier map palette already in use.</w:t>
      </w:r>
    </w:p>
    <w:p w14:paraId="7F5D1666" w14:textId="77777777" w:rsidR="00CB1DA0" w:rsidRDefault="00DE4B72">
      <w:pPr>
        <w:pStyle w:val="ListParagraph"/>
        <w:numPr>
          <w:ilvl w:val="0"/>
          <w:numId w:val="2"/>
        </w:numPr>
        <w:spacing w:after="56" w:line="242" w:lineRule="auto"/>
      </w:pPr>
      <w:r>
        <w:t>Use CoC casing exactly, never COC, and spell state names in full.</w:t>
      </w:r>
    </w:p>
    <w:p w14:paraId="7F5D1667" w14:textId="77777777" w:rsidR="00CB1DA0" w:rsidRDefault="00DE4B72">
      <w:pPr>
        <w:shd w:val="clear" w:color="auto" w:fill="2E4A62"/>
        <w:spacing w:before="170" w:after="115"/>
        <w:ind w:left="100" w:right="100"/>
      </w:pPr>
      <w:r>
        <w:rPr>
          <w:b/>
          <w:bCs/>
          <w:color w:val="FFFFFF"/>
          <w:spacing w:val="6"/>
          <w:sz w:val="23"/>
          <w:szCs w:val="23"/>
        </w:rPr>
        <w:t>Still Being Finalized</w:t>
      </w:r>
    </w:p>
    <w:p w14:paraId="7F5D1668" w14:textId="77777777" w:rsidR="00CB1DA0" w:rsidRDefault="00DE4B72">
      <w:pPr>
        <w:pStyle w:val="ListParagraph"/>
        <w:numPr>
          <w:ilvl w:val="0"/>
          <w:numId w:val="2"/>
        </w:numPr>
        <w:spacing w:after="56" w:line="242" w:lineRule="auto"/>
      </w:pPr>
      <w:r>
        <w:t>Web typeface.</w:t>
      </w:r>
    </w:p>
    <w:p w14:paraId="7F5D1669" w14:textId="77777777" w:rsidR="00CB1DA0" w:rsidRDefault="00DE4B72">
      <w:pPr>
        <w:pStyle w:val="ListParagraph"/>
        <w:numPr>
          <w:ilvl w:val="0"/>
          <w:numId w:val="2"/>
        </w:numPr>
        <w:spacing w:after="56" w:line="242" w:lineRule="auto"/>
      </w:pPr>
      <w:r>
        <w:t>Logo and wordmark.</w:t>
      </w:r>
    </w:p>
    <w:p w14:paraId="7F5D166A" w14:textId="77777777" w:rsidR="00CB1DA0" w:rsidRDefault="00DE4B72">
      <w:pPr>
        <w:pStyle w:val="ListParagraph"/>
        <w:numPr>
          <w:ilvl w:val="0"/>
          <w:numId w:val="2"/>
        </w:numPr>
        <w:spacing w:after="56" w:line="242" w:lineRule="auto"/>
      </w:pPr>
      <w:r>
        <w:t>Web interaction colors and tints, derived from the palette above.</w:t>
      </w:r>
    </w:p>
    <w:p w14:paraId="7F5D166B" w14:textId="77777777" w:rsidR="00CB1DA0" w:rsidRDefault="00DE4B72">
      <w:pPr>
        <w:pStyle w:val="ListParagraph"/>
        <w:numPr>
          <w:ilvl w:val="0"/>
          <w:numId w:val="2"/>
        </w:numPr>
        <w:spacing w:after="56" w:line="242" w:lineRule="auto"/>
      </w:pPr>
      <w:r>
        <w:t>Domain and email conventions, which affect every footer and signature block.</w:t>
      </w:r>
    </w:p>
    <w:sectPr w:rsidR="00CB1DA0">
      <w:headerReference w:type="default" r:id="rId7"/>
      <w:footerReference w:type="default" r:id="rId8"/>
      <w:headerReference w:type="first" r:id="rId9"/>
      <w:footerReference w:type="first" r:id="rId10"/>
      <w:pgSz w:w="12240" w:h="15840"/>
      <w:pgMar w:top="1000" w:right="1440" w:bottom="820" w:left="1440" w:header="600" w:footer="4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8437C" w14:textId="77777777" w:rsidR="00D9520F" w:rsidRDefault="00D9520F">
      <w:r>
        <w:separator/>
      </w:r>
    </w:p>
  </w:endnote>
  <w:endnote w:type="continuationSeparator" w:id="0">
    <w:p w14:paraId="2DEF96BB" w14:textId="77777777" w:rsidR="00D9520F" w:rsidRDefault="00D95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D166D" w14:textId="77777777" w:rsidR="00CB1DA0" w:rsidRDefault="00DE4B72">
    <w:pPr>
      <w:spacing w:before="60"/>
      <w:jc w:val="center"/>
    </w:pPr>
    <w:r>
      <w:rPr>
        <w:color w:val="7F7F7F"/>
        <w:sz w:val="17"/>
        <w:szCs w:val="17"/>
      </w:rPr>
      <w:t>National Association of Continuum of Care Leaders  ·  A national professional association for CoCs, by CoCs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D166F" w14:textId="77777777" w:rsidR="00CB1DA0" w:rsidRDefault="00DE4B72">
    <w:pPr>
      <w:spacing w:before="60"/>
      <w:jc w:val="center"/>
    </w:pPr>
    <w:r>
      <w:rPr>
        <w:color w:val="7F7F7F"/>
        <w:sz w:val="17"/>
        <w:szCs w:val="17"/>
      </w:rPr>
      <w:t>National Association of Continuum of Care Leaders  ·  A national professional association for CoCs, by CoCs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3C3F3" w14:textId="77777777" w:rsidR="00D9520F" w:rsidRDefault="00D9520F">
      <w:r>
        <w:separator/>
      </w:r>
    </w:p>
  </w:footnote>
  <w:footnote w:type="continuationSeparator" w:id="0">
    <w:p w14:paraId="41FC6C5C" w14:textId="77777777" w:rsidR="00D9520F" w:rsidRDefault="00D952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D166C" w14:textId="77777777" w:rsidR="00CB1DA0" w:rsidRDefault="00DE4B72">
    <w:pPr>
      <w:pBdr>
        <w:bottom w:val="single" w:sz="8" w:space="6" w:color="C65D00"/>
      </w:pBdr>
      <w:spacing w:after="180"/>
    </w:pPr>
    <w:r>
      <w:rPr>
        <w:b/>
        <w:bCs/>
        <w:color w:val="2E4A62"/>
        <w:spacing w:val="10"/>
        <w:sz w:val="21"/>
        <w:szCs w:val="21"/>
      </w:rPr>
      <w:t>NACCL</w:t>
    </w:r>
    <w:r>
      <w:rPr>
        <w:color w:val="7F7F7F"/>
        <w:sz w:val="18"/>
        <w:szCs w:val="18"/>
      </w:rPr>
      <w:t xml:space="preserve">   Brand Direction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D166E" w14:textId="77777777" w:rsidR="00CB1DA0" w:rsidRDefault="00CB1DA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B60"/>
    <w:multiLevelType w:val="hybridMultilevel"/>
    <w:tmpl w:val="87D44BC8"/>
    <w:lvl w:ilvl="0" w:tplc="BC8CD93A">
      <w:start w:val="1"/>
      <w:numFmt w:val="bullet"/>
      <w:lvlText w:val="•"/>
      <w:lvlJc w:val="left"/>
      <w:pPr>
        <w:ind w:left="374" w:hanging="230"/>
      </w:pPr>
      <w:rPr>
        <w:rFonts w:ascii="Calibri" w:eastAsia="Calibri" w:hAnsi="Calibri" w:cs="Calibri"/>
        <w:color w:val="C65D00"/>
        <w:sz w:val="22"/>
        <w:szCs w:val="22"/>
      </w:rPr>
    </w:lvl>
    <w:lvl w:ilvl="1" w:tplc="42620CE4">
      <w:numFmt w:val="decimal"/>
      <w:lvlText w:val=""/>
      <w:lvlJc w:val="left"/>
    </w:lvl>
    <w:lvl w:ilvl="2" w:tplc="D7A69956">
      <w:numFmt w:val="decimal"/>
      <w:lvlText w:val=""/>
      <w:lvlJc w:val="left"/>
    </w:lvl>
    <w:lvl w:ilvl="3" w:tplc="211A349E">
      <w:numFmt w:val="decimal"/>
      <w:lvlText w:val=""/>
      <w:lvlJc w:val="left"/>
    </w:lvl>
    <w:lvl w:ilvl="4" w:tplc="F476FA22">
      <w:numFmt w:val="decimal"/>
      <w:lvlText w:val=""/>
      <w:lvlJc w:val="left"/>
    </w:lvl>
    <w:lvl w:ilvl="5" w:tplc="90C43F0A">
      <w:numFmt w:val="decimal"/>
      <w:lvlText w:val=""/>
      <w:lvlJc w:val="left"/>
    </w:lvl>
    <w:lvl w:ilvl="6" w:tplc="CD583712">
      <w:numFmt w:val="decimal"/>
      <w:lvlText w:val=""/>
      <w:lvlJc w:val="left"/>
    </w:lvl>
    <w:lvl w:ilvl="7" w:tplc="29201B8C">
      <w:numFmt w:val="decimal"/>
      <w:lvlText w:val=""/>
      <w:lvlJc w:val="left"/>
    </w:lvl>
    <w:lvl w:ilvl="8" w:tplc="16C4C4D2">
      <w:numFmt w:val="decimal"/>
      <w:lvlText w:val=""/>
      <w:lvlJc w:val="left"/>
    </w:lvl>
  </w:abstractNum>
  <w:abstractNum w:abstractNumId="1" w15:restartNumberingAfterBreak="0">
    <w:nsid w:val="31280E4F"/>
    <w:multiLevelType w:val="hybridMultilevel"/>
    <w:tmpl w:val="10FCE73E"/>
    <w:lvl w:ilvl="0" w:tplc="CB620F38">
      <w:start w:val="1"/>
      <w:numFmt w:val="bullet"/>
      <w:lvlText w:val="●"/>
      <w:lvlJc w:val="left"/>
      <w:pPr>
        <w:ind w:left="720" w:hanging="360"/>
      </w:pPr>
    </w:lvl>
    <w:lvl w:ilvl="1" w:tplc="25D239CE">
      <w:start w:val="1"/>
      <w:numFmt w:val="bullet"/>
      <w:lvlText w:val="○"/>
      <w:lvlJc w:val="left"/>
      <w:pPr>
        <w:ind w:left="1440" w:hanging="360"/>
      </w:pPr>
    </w:lvl>
    <w:lvl w:ilvl="2" w:tplc="1996EA7C">
      <w:start w:val="1"/>
      <w:numFmt w:val="bullet"/>
      <w:lvlText w:val="■"/>
      <w:lvlJc w:val="left"/>
      <w:pPr>
        <w:ind w:left="2160" w:hanging="360"/>
      </w:pPr>
    </w:lvl>
    <w:lvl w:ilvl="3" w:tplc="2446EE1E">
      <w:start w:val="1"/>
      <w:numFmt w:val="bullet"/>
      <w:lvlText w:val="●"/>
      <w:lvlJc w:val="left"/>
      <w:pPr>
        <w:ind w:left="2880" w:hanging="360"/>
      </w:pPr>
    </w:lvl>
    <w:lvl w:ilvl="4" w:tplc="7D22E382">
      <w:start w:val="1"/>
      <w:numFmt w:val="bullet"/>
      <w:lvlText w:val="○"/>
      <w:lvlJc w:val="left"/>
      <w:pPr>
        <w:ind w:left="3600" w:hanging="360"/>
      </w:pPr>
    </w:lvl>
    <w:lvl w:ilvl="5" w:tplc="908CEAE2">
      <w:start w:val="1"/>
      <w:numFmt w:val="bullet"/>
      <w:lvlText w:val="■"/>
      <w:lvlJc w:val="left"/>
      <w:pPr>
        <w:ind w:left="4320" w:hanging="360"/>
      </w:pPr>
    </w:lvl>
    <w:lvl w:ilvl="6" w:tplc="68E81F0C">
      <w:start w:val="1"/>
      <w:numFmt w:val="bullet"/>
      <w:lvlText w:val="●"/>
      <w:lvlJc w:val="left"/>
      <w:pPr>
        <w:ind w:left="5040" w:hanging="360"/>
      </w:pPr>
    </w:lvl>
    <w:lvl w:ilvl="7" w:tplc="59FA57E8">
      <w:start w:val="1"/>
      <w:numFmt w:val="bullet"/>
      <w:lvlText w:val="●"/>
      <w:lvlJc w:val="left"/>
      <w:pPr>
        <w:ind w:left="5760" w:hanging="360"/>
      </w:pPr>
    </w:lvl>
    <w:lvl w:ilvl="8" w:tplc="D5CEF160">
      <w:start w:val="1"/>
      <w:numFmt w:val="bullet"/>
      <w:lvlText w:val="●"/>
      <w:lvlJc w:val="left"/>
      <w:pPr>
        <w:ind w:left="6480" w:hanging="360"/>
      </w:pPr>
    </w:lvl>
  </w:abstractNum>
  <w:num w:numId="1" w16cid:durableId="1914198357">
    <w:abstractNumId w:val="1"/>
    <w:lvlOverride w:ilvl="0">
      <w:startOverride w:val="1"/>
    </w:lvlOverride>
  </w:num>
  <w:num w:numId="2" w16cid:durableId="627207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DA0"/>
    <w:rsid w:val="004F0E61"/>
    <w:rsid w:val="006747DD"/>
    <w:rsid w:val="00771EDC"/>
    <w:rsid w:val="007C45A7"/>
    <w:rsid w:val="00CB1DA0"/>
    <w:rsid w:val="00D9520F"/>
    <w:rsid w:val="00DE4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D162F"/>
  <w15:docId w15:val="{85CCDA25-2D1C-4CB3-9E96-63A5DC87F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2D2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473</Words>
  <Characters>2700</Characters>
  <Application>Microsoft Office Word</Application>
  <DocSecurity>0</DocSecurity>
  <Lines>22</Lines>
  <Paragraphs>6</Paragraphs>
  <ScaleCrop>false</ScaleCrop>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NACCL Brand Direction</dc:title>
  <dc:creator>Jenae Bjelland</dc:creator>
  <cp:lastModifiedBy>Jenae Bjelland</cp:lastModifiedBy>
  <cp:revision>2</cp:revision>
  <dcterms:created xsi:type="dcterms:W3CDTF">2026-08-24T19:15:00Z</dcterms:created>
  <dcterms:modified xsi:type="dcterms:W3CDTF">2026-08-24T23:58:00Z</dcterms:modified>
</cp:coreProperties>
</file>