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1F2937"/>
          <w:sz w:val="34"/>
          <w:szCs w:val="34"/>
        </w:rPr>
        <w:t xml:space="preserve">AI Conversation Quality Review</w:t>
      </w:r>
    </w:p>
    <w:p>
      <w:pPr>
        <w:spacing w:after="220"/>
        <w:jc w:val="center"/>
      </w:pPr>
      <w:r>
        <w:rPr>
          <w:rFonts w:ascii="Calibri" w:cs="Calibri" w:eastAsia="Calibri" w:hAnsi="Calibri"/>
          <w:color w:val="595959"/>
          <w:sz w:val="24"/>
          <w:szCs w:val="24"/>
        </w:rPr>
        <w:t xml:space="preserve">Executive Summary</w:t>
      </w:r>
    </w:p>
    <w:p>
      <w:pPr>
        <w:spacing w:after="160"/>
        <w:jc w:val="both"/>
      </w:pPr>
      <w:r>
        <w:rPr>
          <w:rFonts w:ascii="Calibri" w:cs="Calibri" w:eastAsia="Calibri" w:hAnsi="Calibri"/>
          <w:sz w:val="22"/>
          <w:szCs w:val="22"/>
        </w:rPr>
        <w:t xml:space="preserve">A manual quality review was conducted on 120 AI-assisted customer support conversations for a fictional outdoor retailer. The review evaluated six common customer support scenarios, including product recommendations, general product information, shipping delays, returns, warranty inquiries, and account/payment support. The objective was to evaluate how consistently a newly deployed AI customer support assistant met established quality standards across routine customer interactions.</w:t>
      </w:r>
    </w:p>
    <w:p>
      <w:pPr>
        <w:pBdr>
          <w:bottom w:val="single" w:color="1F2937" w:sz="6" w:space="2"/>
        </w:pBdr>
        <w:spacing w:after="100" w:before="260"/>
      </w:pPr>
      <w:r>
        <w:rPr>
          <w:rFonts w:ascii="Calibri" w:cs="Calibri" w:eastAsia="Calibri" w:hAnsi="Calibri"/>
          <w:b/>
          <w:bCs/>
          <w:color w:val="1F2937"/>
          <w:sz w:val="24"/>
          <w:szCs w:val="24"/>
        </w:rPr>
        <w:t xml:space="preserve">Evaluation Methodology</w:t>
      </w:r>
    </w:p>
    <w:p>
      <w:pPr>
        <w:spacing w:after="160"/>
        <w:jc w:val="both"/>
      </w:pPr>
      <w:r>
        <w:rPr>
          <w:rFonts w:ascii="Calibri" w:cs="Calibri" w:eastAsia="Calibri" w:hAnsi="Calibri"/>
          <w:sz w:val="22"/>
          <w:szCs w:val="22"/>
        </w:rPr>
        <w:t xml:space="preserve">Each conversation was evaluated using four quality dimensions: Accuracy, Tone, Completeness, and Policy Compliance. Reviewer observations, severity levels, and Primary QA Findings were documented when quality issues were identified to support trend analysis and continuous improvement.</w:t>
      </w:r>
    </w:p>
    <w:p>
      <w:pPr>
        <w:pBdr>
          <w:bottom w:val="single" w:color="1F2937" w:sz="6" w:space="2"/>
        </w:pBdr>
        <w:spacing w:after="100" w:before="260"/>
      </w:pPr>
      <w:r>
        <w:rPr>
          <w:rFonts w:ascii="Calibri" w:cs="Calibri" w:eastAsia="Calibri" w:hAnsi="Calibri"/>
          <w:b/>
          <w:bCs/>
          <w:color w:val="1F2937"/>
          <w:sz w:val="24"/>
          <w:szCs w:val="24"/>
        </w:rPr>
        <w:t xml:space="preserve">Review Highlights</w:t>
      </w:r>
    </w:p>
    <w:p>
      <w:pPr>
        <w:spacing w:after="160"/>
        <w:jc w:val="both"/>
      </w:pPr>
      <w:r>
        <w:rPr>
          <w:rFonts w:ascii="Calibri" w:cs="Calibri" w:eastAsia="Calibri" w:hAnsi="Calibri"/>
          <w:sz w:val="22"/>
          <w:szCs w:val="22"/>
        </w:rPr>
        <w:t xml:space="preserve">Overall performance was strong throughout the review period, with most conversations meeting established quality standards. Responses consistently demonstrated professional tone and policy adherence, while the greatest opportunities for improvement involved response completeness and factual accuracy. Primary QA Findings were assigned only when corrective feedback was warranted, allowing reviewed conversations that met expectations to remain free of issue classifications.</w:t>
      </w:r>
    </w:p>
    <w:p>
      <w:pPr>
        <w:spacing w:after="160"/>
        <w:jc w:val="both"/>
      </w:pPr>
      <w:r>
        <w:rPr>
          <w:rFonts w:ascii="Calibri" w:cs="Calibri" w:eastAsia="Calibri" w:hAnsi="Calibri"/>
          <w:sz w:val="22"/>
          <w:szCs w:val="22"/>
        </w:rPr>
        <w:t xml:space="preserve">The most notable pattern identified was concentrated within the Incorrect Information findings: nearly all of these cases involved the assistant stating a specific, confident delivery date for a delayed shipment despite no supporting tracking movement. This represents a single, coachable failure mode rather than scattered, unrelated factual errors.</w:t>
      </w:r>
    </w:p>
    <w:p>
      <w:pPr>
        <w:pBdr>
          <w:bottom w:val="single" w:color="1F2937" w:sz="6" w:space="2"/>
        </w:pBdr>
        <w:spacing w:after="100" w:before="260"/>
      </w:pPr>
      <w:r>
        <w:rPr>
          <w:rFonts w:ascii="Calibri" w:cs="Calibri" w:eastAsia="Calibri" w:hAnsi="Calibri"/>
          <w:b/>
          <w:bCs/>
          <w:color w:val="1F2937"/>
          <w:sz w:val="24"/>
          <w:szCs w:val="24"/>
        </w:rPr>
        <w:t xml:space="preserve">Primary QA Finding Count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7300"/>
        <w:gridCol w:w="3140"/>
      </w:tblGrid>
      <w:tr>
        <w:tc>
          <w:tcPr>
            <w:tcW w:type="dxa" w:w="7300"/>
            <w:shd w:fill="2E4034" w:color="auto" w:val="clear"/>
            <w:tcMar>
              <w:top w:type="dxa" w:w="100"/>
              <w:left w:type="dxa" w:w="120"/>
              <w:bottom w:type="dxa" w:w="100"/>
              <w:right w:type="dxa" w:w="120"/>
            </w:tcMar>
          </w:tcPr>
          <w:p>
            <w:r>
              <w:rPr>
                <w:rFonts w:ascii="Calibri" w:cs="Calibri" w:eastAsia="Calibri" w:hAnsi="Calibri"/>
                <w:b/>
                <w:bCs/>
                <w:color w:val="FFFFFF"/>
                <w:sz w:val="21"/>
                <w:szCs w:val="21"/>
              </w:rPr>
              <w:t xml:space="preserve">Primary QA Finding</w:t>
            </w:r>
          </w:p>
        </w:tc>
        <w:tc>
          <w:tcPr>
            <w:tcW w:type="dxa" w:w="3140"/>
            <w:shd w:fill="2E4034" w:color="auto" w:val="clear"/>
            <w:tcMar>
              <w:top w:type="dxa" w:w="100"/>
              <w:left w:type="dxa" w:w="120"/>
              <w:bottom w:type="dxa" w:w="100"/>
              <w:right w:type="dxa" w:w="120"/>
            </w:tcMar>
          </w:tcPr>
          <w:p>
            <w:r>
              <w:rPr>
                <w:rFonts w:ascii="Calibri" w:cs="Calibri" w:eastAsia="Calibri" w:hAnsi="Calibri"/>
                <w:b/>
                <w:bCs/>
                <w:color w:val="FFFFFF"/>
                <w:sz w:val="21"/>
                <w:szCs w:val="21"/>
              </w:rPr>
              <w:t xml:space="preserve">Count</w:t>
            </w:r>
          </w:p>
        </w:tc>
      </w:tr>
      <w:tr>
        <w:tc>
          <w:tcPr>
            <w:tcW w:type="dxa" w:w="7300"/>
            <w:tcMar>
              <w:top w:type="dxa" w:w="100"/>
              <w:left w:type="dxa" w:w="120"/>
              <w:bottom w:type="dxa" w:w="100"/>
              <w:right w:type="dxa" w:w="120"/>
            </w:tcMar>
          </w:tcPr>
          <w:p>
            <w:r>
              <w:rPr>
                <w:rFonts w:ascii="Calibri" w:cs="Calibri" w:eastAsia="Calibri" w:hAnsi="Calibri"/>
                <w:b w:val="false"/>
                <w:bCs w:val="false"/>
                <w:sz w:val="21"/>
                <w:szCs w:val="21"/>
              </w:rPr>
              <w:t xml:space="preserve">Incorrect Information</w:t>
            </w:r>
          </w:p>
        </w:tc>
        <w:tc>
          <w:tcPr>
            <w:tcW w:type="dxa" w:w="3140"/>
            <w:tcMar>
              <w:top w:type="dxa" w:w="100"/>
              <w:left w:type="dxa" w:w="120"/>
              <w:bottom w:type="dxa" w:w="100"/>
              <w:right w:type="dxa" w:w="120"/>
            </w:tcMar>
          </w:tcPr>
          <w:p>
            <w:r>
              <w:rPr>
                <w:rFonts w:ascii="Calibri" w:cs="Calibri" w:eastAsia="Calibri" w:hAnsi="Calibri"/>
                <w:b w:val="false"/>
                <w:bCs w:val="false"/>
                <w:sz w:val="21"/>
                <w:szCs w:val="21"/>
              </w:rPr>
              <w:t xml:space="preserve">9</w:t>
            </w:r>
          </w:p>
        </w:tc>
      </w:tr>
      <w:tr>
        <w:tc>
          <w:tcPr>
            <w:tcW w:type="dxa" w:w="7300"/>
            <w:tcMar>
              <w:top w:type="dxa" w:w="100"/>
              <w:left w:type="dxa" w:w="120"/>
              <w:bottom w:type="dxa" w:w="100"/>
              <w:right w:type="dxa" w:w="120"/>
            </w:tcMar>
          </w:tcPr>
          <w:p>
            <w:r>
              <w:rPr>
                <w:rFonts w:ascii="Calibri" w:cs="Calibri" w:eastAsia="Calibri" w:hAnsi="Calibri"/>
                <w:b w:val="false"/>
                <w:bCs w:val="false"/>
                <w:sz w:val="21"/>
                <w:szCs w:val="21"/>
              </w:rPr>
              <w:t xml:space="preserve">Incomplete Response</w:t>
            </w:r>
          </w:p>
        </w:tc>
        <w:tc>
          <w:tcPr>
            <w:tcW w:type="dxa" w:w="3140"/>
            <w:tcMar>
              <w:top w:type="dxa" w:w="100"/>
              <w:left w:type="dxa" w:w="120"/>
              <w:bottom w:type="dxa" w:w="100"/>
              <w:right w:type="dxa" w:w="120"/>
            </w:tcMar>
          </w:tcPr>
          <w:p>
            <w:r>
              <w:rPr>
                <w:rFonts w:ascii="Calibri" w:cs="Calibri" w:eastAsia="Calibri" w:hAnsi="Calibri"/>
                <w:b w:val="false"/>
                <w:bCs w:val="false"/>
                <w:sz w:val="21"/>
                <w:szCs w:val="21"/>
              </w:rPr>
              <w:t xml:space="preserve">8</w:t>
            </w:r>
          </w:p>
        </w:tc>
      </w:tr>
      <w:tr>
        <w:tc>
          <w:tcPr>
            <w:tcW w:type="dxa" w:w="7300"/>
            <w:tcMar>
              <w:top w:type="dxa" w:w="100"/>
              <w:left w:type="dxa" w:w="120"/>
              <w:bottom w:type="dxa" w:w="100"/>
              <w:right w:type="dxa" w:w="120"/>
            </w:tcMar>
          </w:tcPr>
          <w:p>
            <w:r>
              <w:rPr>
                <w:rFonts w:ascii="Calibri" w:cs="Calibri" w:eastAsia="Calibri" w:hAnsi="Calibri"/>
                <w:b w:val="false"/>
                <w:bCs w:val="false"/>
                <w:sz w:val="21"/>
                <w:szCs w:val="21"/>
              </w:rPr>
              <w:t xml:space="preserve">Missing Escalation</w:t>
            </w:r>
          </w:p>
        </w:tc>
        <w:tc>
          <w:tcPr>
            <w:tcW w:type="dxa" w:w="3140"/>
            <w:tcMar>
              <w:top w:type="dxa" w:w="100"/>
              <w:left w:type="dxa" w:w="120"/>
              <w:bottom w:type="dxa" w:w="100"/>
              <w:right w:type="dxa" w:w="120"/>
            </w:tcMar>
          </w:tcPr>
          <w:p>
            <w:r>
              <w:rPr>
                <w:rFonts w:ascii="Calibri" w:cs="Calibri" w:eastAsia="Calibri" w:hAnsi="Calibri"/>
                <w:b w:val="false"/>
                <w:bCs w:val="false"/>
                <w:sz w:val="21"/>
                <w:szCs w:val="21"/>
              </w:rPr>
              <w:t xml:space="preserve">5</w:t>
            </w:r>
          </w:p>
        </w:tc>
      </w:tr>
      <w:tr>
        <w:tc>
          <w:tcPr>
            <w:tcW w:type="dxa" w:w="7300"/>
            <w:tcMar>
              <w:top w:type="dxa" w:w="100"/>
              <w:left w:type="dxa" w:w="120"/>
              <w:bottom w:type="dxa" w:w="100"/>
              <w:right w:type="dxa" w:w="120"/>
            </w:tcMar>
          </w:tcPr>
          <w:p>
            <w:r>
              <w:rPr>
                <w:rFonts w:ascii="Calibri" w:cs="Calibri" w:eastAsia="Calibri" w:hAnsi="Calibri"/>
                <w:b w:val="false"/>
                <w:bCs w:val="false"/>
                <w:sz w:val="21"/>
                <w:szCs w:val="21"/>
              </w:rPr>
              <w:t xml:space="preserve">Generic Recommendation</w:t>
            </w:r>
          </w:p>
        </w:tc>
        <w:tc>
          <w:tcPr>
            <w:tcW w:type="dxa" w:w="3140"/>
            <w:tcMar>
              <w:top w:type="dxa" w:w="100"/>
              <w:left w:type="dxa" w:w="120"/>
              <w:bottom w:type="dxa" w:w="100"/>
              <w:right w:type="dxa" w:w="120"/>
            </w:tcMar>
          </w:tcPr>
          <w:p>
            <w:r>
              <w:rPr>
                <w:rFonts w:ascii="Calibri" w:cs="Calibri" w:eastAsia="Calibri" w:hAnsi="Calibri"/>
                <w:b w:val="false"/>
                <w:bCs w:val="false"/>
                <w:sz w:val="21"/>
                <w:szCs w:val="21"/>
              </w:rPr>
              <w:t xml:space="preserve">2</w:t>
            </w:r>
          </w:p>
        </w:tc>
      </w:tr>
      <w:tr>
        <w:tc>
          <w:tcPr>
            <w:tcW w:type="dxa" w:w="7300"/>
            <w:tcMar>
              <w:top w:type="dxa" w:w="100"/>
              <w:left w:type="dxa" w:w="120"/>
              <w:bottom w:type="dxa" w:w="100"/>
              <w:right w:type="dxa" w:w="120"/>
            </w:tcMar>
          </w:tcPr>
          <w:p>
            <w:r>
              <w:rPr>
                <w:rFonts w:ascii="Calibri" w:cs="Calibri" w:eastAsia="Calibri" w:hAnsi="Calibri"/>
                <w:b w:val="false"/>
                <w:bCs w:val="false"/>
                <w:sz w:val="21"/>
                <w:szCs w:val="21"/>
              </w:rPr>
              <w:t xml:space="preserve">Missing Empathy</w:t>
            </w:r>
          </w:p>
        </w:tc>
        <w:tc>
          <w:tcPr>
            <w:tcW w:type="dxa" w:w="3140"/>
            <w:tcMar>
              <w:top w:type="dxa" w:w="100"/>
              <w:left w:type="dxa" w:w="120"/>
              <w:bottom w:type="dxa" w:w="100"/>
              <w:right w:type="dxa" w:w="120"/>
            </w:tcMar>
          </w:tcPr>
          <w:p>
            <w:r>
              <w:rPr>
                <w:rFonts w:ascii="Calibri" w:cs="Calibri" w:eastAsia="Calibri" w:hAnsi="Calibri"/>
                <w:b w:val="false"/>
                <w:bCs w:val="false"/>
                <w:sz w:val="21"/>
                <w:szCs w:val="21"/>
              </w:rPr>
              <w:t xml:space="preserve">1</w:t>
            </w:r>
          </w:p>
        </w:tc>
      </w:tr>
      <w:tr>
        <w:tc>
          <w:tcPr>
            <w:tcW w:type="dxa" w:w="7300"/>
            <w:tcMar>
              <w:top w:type="dxa" w:w="100"/>
              <w:left w:type="dxa" w:w="120"/>
              <w:bottom w:type="dxa" w:w="100"/>
              <w:right w:type="dxa" w:w="120"/>
            </w:tcMar>
          </w:tcPr>
          <w:p>
            <w:r>
              <w:rPr>
                <w:rFonts w:ascii="Calibri" w:cs="Calibri" w:eastAsia="Calibri" w:hAnsi="Calibri"/>
                <w:b/>
                <w:bCs/>
                <w:sz w:val="21"/>
                <w:szCs w:val="21"/>
              </w:rPr>
              <w:t xml:space="preserve">Total flagged (of 120 reviewed)</w:t>
            </w:r>
          </w:p>
        </w:tc>
        <w:tc>
          <w:tcPr>
            <w:tcW w:type="dxa" w:w="3140"/>
            <w:tcMar>
              <w:top w:type="dxa" w:w="100"/>
              <w:left w:type="dxa" w:w="120"/>
              <w:bottom w:type="dxa" w:w="100"/>
              <w:right w:type="dxa" w:w="120"/>
            </w:tcMar>
          </w:tcPr>
          <w:p>
            <w:r>
              <w:rPr>
                <w:rFonts w:ascii="Calibri" w:cs="Calibri" w:eastAsia="Calibri" w:hAnsi="Calibri"/>
                <w:b/>
                <w:bCs/>
                <w:sz w:val="21"/>
                <w:szCs w:val="21"/>
              </w:rPr>
              <w:t xml:space="preserve">25</w:t>
            </w:r>
          </w:p>
        </w:tc>
      </w:tr>
    </w:tbl>
    <w:p>
      <w:pPr>
        <w:pBdr>
          <w:bottom w:val="single" w:color="1F2937" w:sz="6" w:space="2"/>
        </w:pBdr>
        <w:spacing w:after="100" w:before="260"/>
      </w:pPr>
      <w:r>
        <w:rPr>
          <w:rFonts w:ascii="Calibri" w:cs="Calibri" w:eastAsia="Calibri" w:hAnsi="Calibri"/>
          <w:b/>
          <w:bCs/>
          <w:color w:val="1F2937"/>
          <w:sz w:val="24"/>
          <w:szCs w:val="24"/>
        </w:rPr>
        <w:t xml:space="preserve">Recommendations</w:t>
      </w:r>
    </w:p>
    <w:p>
      <w:pPr>
        <w:spacing w:after="160"/>
        <w:jc w:val="both"/>
      </w:pPr>
      <w:r>
        <w:rPr>
          <w:rFonts w:ascii="Calibri" w:cs="Calibri" w:eastAsia="Calibri" w:hAnsi="Calibri"/>
          <w:sz w:val="22"/>
          <w:szCs w:val="22"/>
        </w:rPr>
        <w:t xml:space="preserve">Continue periodic manual quality reviews to monitor conversation performance and identify emerging trends. Future coaching efforts should emphasize factual accuracy, complete customer guidance, and consistent escalation handling while maintaining the strong tone and policy compliance demonstrated throughout the review. Given the concentration of Incorrect Information findings around unsupported delivery-date estimates, near-term coaching should specifically address when the assistant should decline to state a specific date rather than reassure the customer with an unverifiable one.</w:t>
      </w:r>
    </w:p>
    <w:p>
      <w:pPr>
        <w:pBdr>
          <w:top w:val="single" w:color="BFBFBF" w:sz="4" w:space="4"/>
        </w:pBdr>
        <w:spacing w:before="300"/>
      </w:pPr>
      <w:r>
        <w:rPr>
          <w:rFonts w:ascii="Calibri" w:cs="Calibri" w:eastAsia="Calibri" w:hAnsi="Calibri"/>
          <w:i/>
          <w:iCs/>
          <w:color w:val="595959"/>
          <w:sz w:val="17"/>
          <w:szCs w:val="17"/>
        </w:rPr>
        <w:t xml:space="preserve">North Ridge Outfitters is a fictional organization created for portfolio purposes. This project demonstrates a structured quality assurance workflow for evaluating AI-assisted customer support conversations.</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2026-08-02T03:04:20.231Z</dcterms:created>
  <dcterms:modified xsi:type="dcterms:W3CDTF">2026-08-02T03:04:20.250Z</dcterms:modified>
</cp:coreProperties>
</file>

<file path=docProps/custom.xml><?xml version="1.0" encoding="utf-8"?>
<Properties xmlns="http://schemas.openxmlformats.org/officeDocument/2006/custom-properties" xmlns:vt="http://schemas.openxmlformats.org/officeDocument/2006/docPropsVTypes"/>
</file>