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0CA" w:rsidRPr="00D2683D" w:rsidRDefault="00D2683D">
      <w:pPr>
        <w:pStyle w:val="Title"/>
        <w:rPr>
          <w:rFonts w:cstheme="majorHAnsi"/>
        </w:rPr>
      </w:pPr>
      <w:r>
        <w:rPr>
          <w:rFonts w:cstheme="majorHAnsi"/>
        </w:rPr>
        <w:t xml:space="preserve">Evidence that Inclusion of Adaptive Priors in </w:t>
      </w:r>
      <w:r w:rsidR="00AD17A1" w:rsidRPr="00D2683D">
        <w:rPr>
          <w:rFonts w:cstheme="majorHAnsi"/>
        </w:rPr>
        <w:t xml:space="preserve">Correlated Chain Ladders </w:t>
      </w:r>
      <w:r>
        <w:rPr>
          <w:rFonts w:cstheme="majorHAnsi"/>
        </w:rPr>
        <w:t>Does Not Improve</w:t>
      </w:r>
      <w:r w:rsidR="00AD17A1" w:rsidRPr="00D2683D">
        <w:rPr>
          <w:rFonts w:cstheme="majorHAnsi"/>
        </w:rPr>
        <w:t xml:space="preserve"> Loss Reserve Forecast</w:t>
      </w:r>
      <w:r>
        <w:rPr>
          <w:rFonts w:cstheme="majorHAnsi"/>
        </w:rPr>
        <w:t>s</w:t>
      </w:r>
      <w:r w:rsidR="00AD17A1" w:rsidRPr="00D2683D">
        <w:rPr>
          <w:rFonts w:cstheme="majorHAnsi"/>
        </w:rPr>
        <w:t xml:space="preserve"> </w:t>
      </w:r>
    </w:p>
    <w:p w:rsidR="004740CA" w:rsidRPr="00D2683D" w:rsidRDefault="00AD17A1">
      <w:pPr>
        <w:pStyle w:val="Author"/>
        <w:rPr>
          <w:rFonts w:asciiTheme="majorHAnsi" w:hAnsiTheme="majorHAnsi" w:cstheme="majorHAnsi"/>
        </w:rPr>
      </w:pPr>
      <w:r w:rsidRPr="00D2683D">
        <w:rPr>
          <w:rFonts w:asciiTheme="majorHAnsi" w:hAnsiTheme="majorHAnsi" w:cstheme="majorHAnsi"/>
        </w:rPr>
        <w:t>Blake Shurtz</w:t>
      </w:r>
    </w:p>
    <w:p w:rsidR="004740CA" w:rsidRPr="00D2683D" w:rsidRDefault="00AD17A1">
      <w:pPr>
        <w:pStyle w:val="Date"/>
        <w:rPr>
          <w:rFonts w:asciiTheme="majorHAnsi" w:hAnsiTheme="majorHAnsi" w:cstheme="majorHAnsi"/>
        </w:rPr>
      </w:pPr>
      <w:r w:rsidRPr="00D2683D">
        <w:rPr>
          <w:rFonts w:asciiTheme="majorHAnsi" w:hAnsiTheme="majorHAnsi" w:cstheme="majorHAnsi"/>
        </w:rPr>
        <w:t>June 29, 2019</w:t>
      </w:r>
    </w:p>
    <w:p w:rsidR="004740CA" w:rsidRPr="00D2683D" w:rsidRDefault="00AD17A1">
      <w:pPr>
        <w:pStyle w:val="Heading2"/>
        <w:rPr>
          <w:rFonts w:cstheme="majorHAnsi"/>
        </w:rPr>
      </w:pPr>
      <w:bookmarkStart w:id="0" w:name="abstract"/>
      <w:bookmarkEnd w:id="0"/>
      <w:r w:rsidRPr="00D2683D">
        <w:rPr>
          <w:rFonts w:cstheme="majorHAnsi"/>
        </w:rPr>
        <w:t>Abstract</w:t>
      </w:r>
    </w:p>
    <w:p w:rsidR="004740CA" w:rsidRPr="00D2683D" w:rsidRDefault="00AD17A1">
      <w:pPr>
        <w:pStyle w:val="FirstParagraph"/>
        <w:rPr>
          <w:rFonts w:asciiTheme="majorHAnsi" w:hAnsiTheme="majorHAnsi" w:cstheme="majorHAnsi"/>
        </w:rPr>
      </w:pPr>
      <w:r w:rsidRPr="00D2683D">
        <w:rPr>
          <w:rFonts w:asciiTheme="majorHAnsi" w:hAnsiTheme="majorHAnsi" w:cstheme="majorHAnsi"/>
        </w:rPr>
        <w:t>This paper investigates the substitution of adaptive priors for standard uninformed priors in an application of Bayesian stochastic loss reserve forecasting. Results show that both methods work similarly well in comparison</w:t>
      </w:r>
      <w:bookmarkStart w:id="1" w:name="_GoBack"/>
      <w:bookmarkEnd w:id="1"/>
      <w:r w:rsidRPr="00D2683D">
        <w:rPr>
          <w:rFonts w:asciiTheme="majorHAnsi" w:hAnsiTheme="majorHAnsi" w:cstheme="majorHAnsi"/>
        </w:rPr>
        <w:t xml:space="preserve"> to more analytical methods. However, both models generate outliers in loss prediction for </w:t>
      </w:r>
      <w:r w:rsidR="00D2683D">
        <w:rPr>
          <w:rFonts w:asciiTheme="majorHAnsi" w:hAnsiTheme="majorHAnsi" w:cstheme="majorHAnsi"/>
        </w:rPr>
        <w:t xml:space="preserve">some </w:t>
      </w:r>
      <w:r w:rsidRPr="00D2683D">
        <w:rPr>
          <w:rFonts w:asciiTheme="majorHAnsi" w:hAnsiTheme="majorHAnsi" w:cstheme="majorHAnsi"/>
        </w:rPr>
        <w:t>lower-value</w:t>
      </w:r>
      <w:r w:rsidR="00D2683D">
        <w:rPr>
          <w:rFonts w:asciiTheme="majorHAnsi" w:hAnsiTheme="majorHAnsi" w:cstheme="majorHAnsi"/>
        </w:rPr>
        <w:t>d</w:t>
      </w:r>
      <w:r w:rsidRPr="00D2683D">
        <w:rPr>
          <w:rFonts w:asciiTheme="majorHAnsi" w:hAnsiTheme="majorHAnsi" w:cstheme="majorHAnsi"/>
        </w:rPr>
        <w:t xml:space="preserve"> claims.</w:t>
      </w:r>
    </w:p>
    <w:p w:rsidR="004740CA" w:rsidRPr="00D2683D" w:rsidRDefault="00AD17A1">
      <w:pPr>
        <w:pStyle w:val="Heading2"/>
        <w:rPr>
          <w:rFonts w:cstheme="majorHAnsi"/>
        </w:rPr>
      </w:pPr>
      <w:bookmarkStart w:id="2" w:name="intro"/>
      <w:bookmarkEnd w:id="2"/>
      <w:r w:rsidRPr="00D2683D">
        <w:rPr>
          <w:rFonts w:cstheme="majorHAnsi"/>
        </w:rPr>
        <w:t>Intro</w:t>
      </w:r>
    </w:p>
    <w:p w:rsidR="004740CA" w:rsidRPr="00D2683D" w:rsidRDefault="00AD17A1">
      <w:pPr>
        <w:pStyle w:val="FirstParagraph"/>
        <w:rPr>
          <w:rFonts w:asciiTheme="majorHAnsi" w:hAnsiTheme="majorHAnsi" w:cstheme="majorHAnsi"/>
        </w:rPr>
      </w:pPr>
      <w:r w:rsidRPr="00D2683D">
        <w:rPr>
          <w:rFonts w:asciiTheme="majorHAnsi" w:hAnsiTheme="majorHAnsi" w:cstheme="majorHAnsi"/>
        </w:rPr>
        <w:t>Unknown future costs, including claim re-evaluations and delayed litigatio</w:t>
      </w:r>
      <w:r w:rsidR="00D2683D">
        <w:rPr>
          <w:rFonts w:asciiTheme="majorHAnsi" w:hAnsiTheme="majorHAnsi" w:cstheme="majorHAnsi"/>
        </w:rPr>
        <w:t>n</w:t>
      </w:r>
      <w:r w:rsidRPr="00D2683D">
        <w:rPr>
          <w:rFonts w:asciiTheme="majorHAnsi" w:hAnsiTheme="majorHAnsi" w:cstheme="majorHAnsi"/>
        </w:rPr>
        <w:t xml:space="preserve">, create uncertainty in loss reserve forcasting. Chain ladders are </w:t>
      </w:r>
      <w:r w:rsidR="00B24614">
        <w:rPr>
          <w:rFonts w:asciiTheme="majorHAnsi" w:hAnsiTheme="majorHAnsi" w:cstheme="majorHAnsi"/>
        </w:rPr>
        <w:t xml:space="preserve">essentially </w:t>
      </w:r>
      <w:r w:rsidRPr="00D2683D">
        <w:rPr>
          <w:rFonts w:asciiTheme="majorHAnsi" w:hAnsiTheme="majorHAnsi" w:cstheme="majorHAnsi"/>
        </w:rPr>
        <w:t xml:space="preserve">cost </w:t>
      </w:r>
      <w:r w:rsidR="00B24614">
        <w:rPr>
          <w:rFonts w:asciiTheme="majorHAnsi" w:hAnsiTheme="majorHAnsi" w:cstheme="majorHAnsi"/>
        </w:rPr>
        <w:t xml:space="preserve">forecasting </w:t>
      </w:r>
      <w:r w:rsidR="0022705D">
        <w:rPr>
          <w:rFonts w:asciiTheme="majorHAnsi" w:hAnsiTheme="majorHAnsi" w:cstheme="majorHAnsi"/>
        </w:rPr>
        <w:t>functions (Mack 1993</w:t>
      </w:r>
      <w:r w:rsidRPr="00D2683D">
        <w:rPr>
          <w:rFonts w:asciiTheme="majorHAnsi" w:hAnsiTheme="majorHAnsi" w:cstheme="majorHAnsi"/>
        </w:rPr>
        <w:t xml:space="preserve">) that </w:t>
      </w:r>
      <w:r w:rsidR="00454C3E">
        <w:rPr>
          <w:rFonts w:asciiTheme="majorHAnsi" w:hAnsiTheme="majorHAnsi" w:cstheme="majorHAnsi"/>
        </w:rPr>
        <w:t xml:space="preserve">predict the </w:t>
      </w:r>
      <w:r w:rsidRPr="00D2683D">
        <w:rPr>
          <w:rFonts w:asciiTheme="majorHAnsi" w:hAnsiTheme="majorHAnsi" w:cstheme="majorHAnsi"/>
        </w:rPr>
        <w:t xml:space="preserve">incurred losses in </w:t>
      </w:r>
      <w:r w:rsidR="00454C3E">
        <w:rPr>
          <w:rFonts w:asciiTheme="majorHAnsi" w:hAnsiTheme="majorHAnsi" w:cstheme="majorHAnsi"/>
        </w:rPr>
        <w:t xml:space="preserve">development </w:t>
      </w:r>
      <w:r w:rsidRPr="00D2683D">
        <w:rPr>
          <w:rFonts w:asciiTheme="majorHAnsi" w:hAnsiTheme="majorHAnsi" w:cstheme="majorHAnsi"/>
        </w:rPr>
        <w:t xml:space="preserve">period </w:t>
      </w:r>
      <w:r w:rsidRPr="00D2683D">
        <w:rPr>
          <w:rFonts w:asciiTheme="majorHAnsi" w:hAnsiTheme="majorHAnsi" w:cstheme="majorHAnsi"/>
          <w:i/>
        </w:rPr>
        <w:t>d + 1</w:t>
      </w:r>
      <w:r w:rsidR="00F064DC">
        <w:rPr>
          <w:rFonts w:asciiTheme="majorHAnsi" w:hAnsiTheme="majorHAnsi" w:cstheme="majorHAnsi"/>
        </w:rPr>
        <w:t xml:space="preserve"> in </w:t>
      </w:r>
      <w:r w:rsidRPr="00D2683D">
        <w:rPr>
          <w:rFonts w:asciiTheme="majorHAnsi" w:hAnsiTheme="majorHAnsi" w:cstheme="majorHAnsi"/>
        </w:rPr>
        <w:t>year</w:t>
      </w:r>
      <w:r w:rsidR="00D2683D">
        <w:rPr>
          <w:rFonts w:asciiTheme="majorHAnsi" w:hAnsiTheme="majorHAnsi" w:cstheme="majorHAnsi"/>
        </w:rPr>
        <w:t xml:space="preserve"> </w:t>
      </w:r>
      <w:r w:rsidR="00D2683D">
        <w:rPr>
          <w:rFonts w:asciiTheme="majorHAnsi" w:hAnsiTheme="majorHAnsi" w:cstheme="majorHAnsi"/>
          <w:i/>
        </w:rPr>
        <w:t>w</w:t>
      </w:r>
      <w:r w:rsidRPr="00D2683D">
        <w:rPr>
          <w:rFonts w:asciiTheme="majorHAnsi" w:hAnsiTheme="majorHAnsi" w:cstheme="majorHAnsi"/>
        </w:rPr>
        <w:t>.</w:t>
      </w:r>
    </w:p>
    <w:p w:rsidR="004740CA" w:rsidRDefault="00AD17A1" w:rsidP="00D2683D">
      <w:pPr>
        <w:pStyle w:val="BodyText"/>
        <w:jc w:val="center"/>
        <w:rPr>
          <w:rFonts w:asciiTheme="majorHAnsi" w:hAnsiTheme="majorHAnsi" w:cstheme="majorHAnsi"/>
        </w:rPr>
      </w:pPr>
      <w:r w:rsidRPr="00D2683D">
        <w:rPr>
          <w:rFonts w:asciiTheme="majorHAnsi" w:hAnsiTheme="majorHAnsi" w:cstheme="majorHAnsi"/>
          <w:noProof/>
        </w:rPr>
        <w:drawing>
          <wp:inline distT="0" distB="0" distL="0" distR="0" wp14:anchorId="4CB9F80B" wp14:editId="156DA8C6">
            <wp:extent cx="1216833" cy="1155700"/>
            <wp:effectExtent l="0" t="0" r="2540" b="6350"/>
            <wp:docPr id="1" name="Picture"/>
            <wp:cNvGraphicFramePr/>
            <a:graphic xmlns:a="http://schemas.openxmlformats.org/drawingml/2006/main">
              <a:graphicData uri="http://schemas.openxmlformats.org/drawingml/2006/picture">
                <pic:pic xmlns:pic="http://schemas.openxmlformats.org/drawingml/2006/picture">
                  <pic:nvPicPr>
                    <pic:cNvPr id="0" name="Picture" descr="chainladder/chainladder.png"/>
                    <pic:cNvPicPr>
                      <a:picLocks noChangeAspect="1" noChangeArrowheads="1"/>
                    </pic:cNvPicPr>
                  </pic:nvPicPr>
                  <pic:blipFill>
                    <a:blip r:embed="rId8"/>
                    <a:stretch>
                      <a:fillRect/>
                    </a:stretch>
                  </pic:blipFill>
                  <pic:spPr bwMode="auto">
                    <a:xfrm>
                      <a:off x="0" y="0"/>
                      <a:ext cx="1222493" cy="1161075"/>
                    </a:xfrm>
                    <a:prstGeom prst="rect">
                      <a:avLst/>
                    </a:prstGeom>
                    <a:noFill/>
                    <a:ln w="9525">
                      <a:noFill/>
                      <a:headEnd/>
                      <a:tailEnd/>
                    </a:ln>
                  </pic:spPr>
                </pic:pic>
              </a:graphicData>
            </a:graphic>
          </wp:inline>
        </w:drawing>
      </w:r>
    </w:p>
    <w:p w:rsidR="00D2683D" w:rsidRPr="00D2683D" w:rsidRDefault="0022705D" w:rsidP="00D2683D">
      <w:pPr>
        <w:pStyle w:val="BodyText"/>
        <w:jc w:val="center"/>
        <w:rPr>
          <w:rFonts w:asciiTheme="majorHAnsi" w:hAnsiTheme="majorHAnsi" w:cstheme="majorHAnsi"/>
          <w:i/>
        </w:rPr>
      </w:pPr>
      <w:r>
        <w:rPr>
          <w:rFonts w:asciiTheme="majorHAnsi" w:hAnsiTheme="majorHAnsi" w:cstheme="majorHAnsi"/>
          <w:i/>
        </w:rPr>
        <w:t>Fig. 1: Chain-Ladder M</w:t>
      </w:r>
      <w:r w:rsidR="00D2683D">
        <w:rPr>
          <w:rFonts w:asciiTheme="majorHAnsi" w:hAnsiTheme="majorHAnsi" w:cstheme="majorHAnsi"/>
          <w:i/>
        </w:rPr>
        <w:t>odel</w:t>
      </w:r>
    </w:p>
    <w:p w:rsidR="004740CA" w:rsidRPr="00D2683D" w:rsidRDefault="00AD17A1">
      <w:pPr>
        <w:pStyle w:val="BodyText"/>
        <w:rPr>
          <w:rFonts w:asciiTheme="majorHAnsi" w:hAnsiTheme="majorHAnsi" w:cstheme="majorHAnsi"/>
        </w:rPr>
      </w:pPr>
      <w:r w:rsidRPr="00D2683D">
        <w:rPr>
          <w:rFonts w:asciiTheme="majorHAnsi" w:hAnsiTheme="majorHAnsi" w:cstheme="majorHAnsi"/>
        </w:rPr>
        <w:t>The assum</w:t>
      </w:r>
      <w:r w:rsidR="008350DB">
        <w:rPr>
          <w:rFonts w:asciiTheme="majorHAnsi" w:hAnsiTheme="majorHAnsi" w:cstheme="majorHAnsi"/>
        </w:rPr>
        <w:t>ptions of this model include that</w:t>
      </w:r>
      <w:r w:rsidRPr="00D2683D">
        <w:rPr>
          <w:rFonts w:asciiTheme="majorHAnsi" w:hAnsiTheme="majorHAnsi" w:cstheme="majorHAnsi"/>
        </w:rPr>
        <w:t>, for a given line of insu</w:t>
      </w:r>
      <w:r w:rsidR="008350DB">
        <w:rPr>
          <w:rFonts w:asciiTheme="majorHAnsi" w:hAnsiTheme="majorHAnsi" w:cstheme="majorHAnsi"/>
        </w:rPr>
        <w:t>rance, each year is independent. Also,</w:t>
      </w:r>
      <w:r w:rsidRPr="00D2683D">
        <w:rPr>
          <w:rFonts w:asciiTheme="majorHAnsi" w:hAnsiTheme="majorHAnsi" w:cstheme="majorHAnsi"/>
        </w:rPr>
        <w:t xml:space="preserve"> the variance</w:t>
      </w:r>
      <w:r w:rsidR="008350DB">
        <w:rPr>
          <w:rFonts w:asciiTheme="majorHAnsi" w:hAnsiTheme="majorHAnsi" w:cstheme="majorHAnsi"/>
        </w:rPr>
        <w:t xml:space="preserve"> in future losses</w:t>
      </w:r>
      <w:r w:rsidRPr="00D2683D">
        <w:rPr>
          <w:rFonts w:asciiTheme="majorHAnsi" w:hAnsiTheme="majorHAnsi" w:cstheme="majorHAnsi"/>
        </w:rPr>
        <w:t xml:space="preserve"> is conditional on the fixed effect</w:t>
      </w:r>
      <w:r w:rsidR="00120AD0">
        <w:rPr>
          <w:rFonts w:asciiTheme="majorHAnsi" w:hAnsiTheme="majorHAnsi" w:cstheme="majorHAnsi"/>
        </w:rPr>
        <w:t xml:space="preserve"> </w:t>
      </w:r>
      <w:r w:rsidR="00120AD0" w:rsidRPr="00120AD0">
        <w:rPr>
          <w:rFonts w:asciiTheme="majorHAnsi" w:hAnsiTheme="majorHAnsi" w:cstheme="majorHAnsi"/>
          <w:i/>
        </w:rPr>
        <w:t>α</w:t>
      </w:r>
      <w:r w:rsidR="00D32F47" w:rsidRPr="00D32F47">
        <w:rPr>
          <w:rFonts w:asciiTheme="majorHAnsi" w:hAnsiTheme="majorHAnsi" w:cstheme="majorHAnsi"/>
          <w:i/>
          <w:vertAlign w:val="subscript"/>
        </w:rPr>
        <w:t>d</w:t>
      </w:r>
      <w:r w:rsidRPr="00D2683D">
        <w:rPr>
          <w:rFonts w:asciiTheme="majorHAnsi" w:hAnsiTheme="majorHAnsi" w:cstheme="majorHAnsi"/>
        </w:rPr>
        <w:t>.</w:t>
      </w:r>
    </w:p>
    <w:p w:rsidR="004740CA" w:rsidRPr="00D2683D" w:rsidRDefault="00AD17A1">
      <w:pPr>
        <w:pStyle w:val="BodyText"/>
        <w:rPr>
          <w:rFonts w:asciiTheme="majorHAnsi" w:hAnsiTheme="majorHAnsi" w:cstheme="majorHAnsi"/>
        </w:rPr>
      </w:pPr>
      <w:r w:rsidRPr="00D2683D">
        <w:rPr>
          <w:rFonts w:asciiTheme="majorHAnsi" w:hAnsiTheme="majorHAnsi" w:cstheme="majorHAnsi"/>
        </w:rPr>
        <w:t>Over the last two decades, Bayesian stochastic models have been adopted by the actuarial science community. Meyers finds that Bayesian stochastic models provide favorably more uniform predictions compared to strictly analytical models</w:t>
      </w:r>
      <w:r w:rsidR="00F4017F">
        <w:rPr>
          <w:rFonts w:asciiTheme="majorHAnsi" w:hAnsiTheme="majorHAnsi" w:cstheme="majorHAnsi"/>
        </w:rPr>
        <w:t xml:space="preserve"> (Myers 2015)</w:t>
      </w:r>
      <w:r w:rsidRPr="00D2683D">
        <w:rPr>
          <w:rFonts w:asciiTheme="majorHAnsi" w:hAnsiTheme="majorHAnsi" w:cstheme="majorHAnsi"/>
        </w:rPr>
        <w:t>. It does this by relaxing the fixed effect assumption for</w:t>
      </w:r>
      <w:r w:rsidR="00D40DAC">
        <w:rPr>
          <w:rFonts w:asciiTheme="majorHAnsi" w:hAnsiTheme="majorHAnsi" w:cstheme="majorHAnsi"/>
        </w:rPr>
        <w:t xml:space="preserve"> model parameters and by</w:t>
      </w:r>
      <w:r w:rsidRPr="00D2683D">
        <w:rPr>
          <w:rFonts w:asciiTheme="majorHAnsi" w:hAnsiTheme="majorHAnsi" w:cstheme="majorHAnsi"/>
        </w:rPr>
        <w:t xml:space="preserve"> allowing </w:t>
      </w:r>
      <w:r w:rsidR="00D40DAC">
        <w:rPr>
          <w:rFonts w:asciiTheme="majorHAnsi" w:hAnsiTheme="majorHAnsi" w:cstheme="majorHAnsi"/>
        </w:rPr>
        <w:t xml:space="preserve">for </w:t>
      </w:r>
      <w:r w:rsidR="00D17842">
        <w:rPr>
          <w:rFonts w:asciiTheme="majorHAnsi" w:hAnsiTheme="majorHAnsi" w:cstheme="majorHAnsi"/>
        </w:rPr>
        <w:t xml:space="preserve">dependence </w:t>
      </w:r>
      <w:r w:rsidR="00D17842" w:rsidRPr="00D17842">
        <w:rPr>
          <w:rFonts w:asciiTheme="majorHAnsi" w:hAnsiTheme="majorHAnsi" w:cstheme="majorHAnsi"/>
          <w:i/>
        </w:rPr>
        <w:t>ρ</w:t>
      </w:r>
      <w:r w:rsidRPr="00D2683D">
        <w:rPr>
          <w:rFonts w:asciiTheme="majorHAnsi" w:hAnsiTheme="majorHAnsi" w:cstheme="majorHAnsi"/>
        </w:rPr>
        <w:t xml:space="preserve"> among accident years.</w:t>
      </w:r>
    </w:p>
    <w:p w:rsidR="004740CA" w:rsidRPr="00D2683D" w:rsidRDefault="00AD17A1">
      <w:pPr>
        <w:pStyle w:val="Heading3"/>
        <w:rPr>
          <w:rFonts w:cstheme="majorHAnsi"/>
        </w:rPr>
      </w:pPr>
      <w:bookmarkStart w:id="3" w:name="data"/>
      <w:bookmarkEnd w:id="3"/>
      <w:r w:rsidRPr="00D2683D">
        <w:rPr>
          <w:rFonts w:cstheme="majorHAnsi"/>
        </w:rPr>
        <w:t>Data</w:t>
      </w:r>
    </w:p>
    <w:p w:rsidR="004740CA" w:rsidRPr="00D2683D" w:rsidRDefault="00AD17A1">
      <w:pPr>
        <w:pStyle w:val="FirstParagraph"/>
        <w:rPr>
          <w:rFonts w:asciiTheme="majorHAnsi" w:hAnsiTheme="majorHAnsi" w:cstheme="majorHAnsi"/>
        </w:rPr>
      </w:pPr>
      <w:r w:rsidRPr="00D2683D">
        <w:rPr>
          <w:rFonts w:asciiTheme="majorHAnsi" w:hAnsiTheme="majorHAnsi" w:cstheme="majorHAnsi"/>
        </w:rPr>
        <w:t>The loss reserving data comes directly from the Casualty Actuarial Society database, NAIC Schedule P</w:t>
      </w:r>
      <w:r w:rsidR="0072323B">
        <w:rPr>
          <w:rFonts w:asciiTheme="majorHAnsi" w:hAnsiTheme="majorHAnsi" w:cstheme="majorHAnsi"/>
        </w:rPr>
        <w:t xml:space="preserve"> (CAS 2011)</w:t>
      </w:r>
      <w:r w:rsidRPr="00D2683D">
        <w:rPr>
          <w:rFonts w:asciiTheme="majorHAnsi" w:hAnsiTheme="majorHAnsi" w:cstheme="majorHAnsi"/>
        </w:rPr>
        <w:t xml:space="preserve">. </w:t>
      </w:r>
      <w:r w:rsidR="00A20562">
        <w:rPr>
          <w:rFonts w:asciiTheme="majorHAnsi" w:hAnsiTheme="majorHAnsi" w:cstheme="majorHAnsi"/>
        </w:rPr>
        <w:t xml:space="preserve">Although the original analysis included four industries, this analysis compares results for </w:t>
      </w:r>
      <w:r w:rsidRPr="00D2683D">
        <w:rPr>
          <w:rFonts w:asciiTheme="majorHAnsi" w:hAnsiTheme="majorHAnsi" w:cstheme="majorHAnsi"/>
        </w:rPr>
        <w:t xml:space="preserve">the </w:t>
      </w:r>
      <w:r w:rsidR="00A20562" w:rsidRPr="00D2683D">
        <w:rPr>
          <w:rFonts w:asciiTheme="majorHAnsi" w:hAnsiTheme="majorHAnsi" w:cstheme="majorHAnsi"/>
        </w:rPr>
        <w:t>commercial</w:t>
      </w:r>
      <w:r w:rsidRPr="00D2683D">
        <w:rPr>
          <w:rFonts w:asciiTheme="majorHAnsi" w:hAnsiTheme="majorHAnsi" w:cstheme="majorHAnsi"/>
        </w:rPr>
        <w:t xml:space="preserve"> auto </w:t>
      </w:r>
      <w:r w:rsidR="00A20562">
        <w:rPr>
          <w:rFonts w:asciiTheme="majorHAnsi" w:hAnsiTheme="majorHAnsi" w:cstheme="majorHAnsi"/>
        </w:rPr>
        <w:t>sector only</w:t>
      </w:r>
      <w:r w:rsidRPr="00D2683D">
        <w:rPr>
          <w:rFonts w:asciiTheme="majorHAnsi" w:hAnsiTheme="majorHAnsi" w:cstheme="majorHAnsi"/>
        </w:rPr>
        <w:t>.</w:t>
      </w:r>
      <w:r w:rsidR="00D159DB">
        <w:rPr>
          <w:rFonts w:asciiTheme="majorHAnsi" w:hAnsiTheme="majorHAnsi" w:cstheme="majorHAnsi"/>
        </w:rPr>
        <w:t xml:space="preserve"> Within that sector,</w:t>
      </w:r>
      <w:r w:rsidRPr="00D2683D">
        <w:rPr>
          <w:rFonts w:asciiTheme="majorHAnsi" w:hAnsiTheme="majorHAnsi" w:cstheme="majorHAnsi"/>
        </w:rPr>
        <w:t xml:space="preserve"> </w:t>
      </w:r>
      <w:r w:rsidR="00D159DB">
        <w:rPr>
          <w:rFonts w:asciiTheme="majorHAnsi" w:hAnsiTheme="majorHAnsi" w:cstheme="majorHAnsi"/>
        </w:rPr>
        <w:t xml:space="preserve">cases </w:t>
      </w:r>
      <w:r w:rsidR="002165CA">
        <w:rPr>
          <w:rFonts w:asciiTheme="majorHAnsi" w:hAnsiTheme="majorHAnsi" w:cstheme="majorHAnsi"/>
        </w:rPr>
        <w:t xml:space="preserve">were selected </w:t>
      </w:r>
      <w:r w:rsidR="002165CA">
        <w:rPr>
          <w:rFonts w:asciiTheme="majorHAnsi" w:hAnsiTheme="majorHAnsi" w:cstheme="majorHAnsi"/>
        </w:rPr>
        <w:lastRenderedPageBreak/>
        <w:t xml:space="preserve">in which there was evidence that </w:t>
      </w:r>
      <w:r w:rsidRPr="00D2683D">
        <w:rPr>
          <w:rFonts w:asciiTheme="majorHAnsi" w:hAnsiTheme="majorHAnsi" w:cstheme="majorHAnsi"/>
        </w:rPr>
        <w:t xml:space="preserve">exogenous changes in business practices </w:t>
      </w:r>
      <w:r w:rsidR="002165CA">
        <w:rPr>
          <w:rFonts w:asciiTheme="majorHAnsi" w:hAnsiTheme="majorHAnsi" w:cstheme="majorHAnsi"/>
        </w:rPr>
        <w:t xml:space="preserve">likely did not </w:t>
      </w:r>
      <w:r w:rsidR="00CC4B39">
        <w:rPr>
          <w:rFonts w:asciiTheme="majorHAnsi" w:hAnsiTheme="majorHAnsi" w:cstheme="majorHAnsi"/>
        </w:rPr>
        <w:t>occu</w:t>
      </w:r>
      <w:r w:rsidR="002165CA">
        <w:rPr>
          <w:rFonts w:asciiTheme="majorHAnsi" w:hAnsiTheme="majorHAnsi" w:cstheme="majorHAnsi"/>
        </w:rPr>
        <w:t>r</w:t>
      </w:r>
      <w:r w:rsidRPr="00D2683D">
        <w:rPr>
          <w:rFonts w:asciiTheme="majorHAnsi" w:hAnsiTheme="majorHAnsi" w:cstheme="majorHAnsi"/>
        </w:rPr>
        <w:t>. (Meyers</w:t>
      </w:r>
      <w:r w:rsidR="002165CA">
        <w:rPr>
          <w:rFonts w:asciiTheme="majorHAnsi" w:hAnsiTheme="majorHAnsi" w:cstheme="majorHAnsi"/>
        </w:rPr>
        <w:t xml:space="preserve"> 2015</w:t>
      </w:r>
      <w:r w:rsidRPr="00D2683D">
        <w:rPr>
          <w:rFonts w:asciiTheme="majorHAnsi" w:hAnsiTheme="majorHAnsi" w:cstheme="majorHAnsi"/>
        </w:rPr>
        <w:t>)</w:t>
      </w:r>
    </w:p>
    <w:p w:rsidR="004740CA" w:rsidRPr="00D2683D" w:rsidRDefault="00AD17A1">
      <w:pPr>
        <w:pStyle w:val="Heading3"/>
        <w:rPr>
          <w:rFonts w:cstheme="majorHAnsi"/>
        </w:rPr>
      </w:pPr>
      <w:bookmarkStart w:id="4" w:name="the-model"/>
      <w:bookmarkEnd w:id="4"/>
      <w:r w:rsidRPr="00D2683D">
        <w:rPr>
          <w:rFonts w:cstheme="majorHAnsi"/>
        </w:rPr>
        <w:t>The Model</w:t>
      </w:r>
    </w:p>
    <w:p w:rsidR="00572148" w:rsidRDefault="00AD17A1" w:rsidP="00572148">
      <w:pPr>
        <w:pStyle w:val="FirstParagraph"/>
        <w:rPr>
          <w:rFonts w:asciiTheme="majorHAnsi" w:hAnsiTheme="majorHAnsi" w:cstheme="majorHAnsi"/>
        </w:rPr>
      </w:pPr>
      <w:r w:rsidRPr="00D2683D">
        <w:rPr>
          <w:rFonts w:asciiTheme="majorHAnsi" w:hAnsiTheme="majorHAnsi" w:cstheme="majorHAnsi"/>
        </w:rPr>
        <w:t xml:space="preserve">This paper makes a small contribution of testing Meyer’s model and data </w:t>
      </w:r>
      <w:r w:rsidR="009F7A9A">
        <w:rPr>
          <w:rFonts w:asciiTheme="majorHAnsi" w:hAnsiTheme="majorHAnsi" w:cstheme="majorHAnsi"/>
        </w:rPr>
        <w:t xml:space="preserve">by adopting </w:t>
      </w:r>
      <w:r w:rsidRPr="00D2683D">
        <w:rPr>
          <w:rFonts w:asciiTheme="majorHAnsi" w:hAnsiTheme="majorHAnsi" w:cstheme="majorHAnsi"/>
        </w:rPr>
        <w:t>adaptive</w:t>
      </w:r>
      <w:r w:rsidR="00A53135">
        <w:rPr>
          <w:rFonts w:asciiTheme="majorHAnsi" w:hAnsiTheme="majorHAnsi" w:cstheme="majorHAnsi"/>
        </w:rPr>
        <w:t xml:space="preserve"> regularizing</w:t>
      </w:r>
      <w:r w:rsidRPr="00D2683D">
        <w:rPr>
          <w:rFonts w:asciiTheme="majorHAnsi" w:hAnsiTheme="majorHAnsi" w:cstheme="majorHAnsi"/>
        </w:rPr>
        <w:t xml:space="preserve"> priors.</w:t>
      </w:r>
      <w:r w:rsidR="005B27C9">
        <w:rPr>
          <w:rFonts w:asciiTheme="majorHAnsi" w:hAnsiTheme="majorHAnsi" w:cstheme="majorHAnsi"/>
        </w:rPr>
        <w:t xml:space="preserve"> Adaptive priors allow for prior distributions to have their own prior distributions</w:t>
      </w:r>
      <w:r w:rsidR="00AA4DD2">
        <w:rPr>
          <w:rFonts w:asciiTheme="majorHAnsi" w:hAnsiTheme="majorHAnsi" w:cstheme="majorHAnsi"/>
        </w:rPr>
        <w:t xml:space="preserve">. The use of these adaptive priors is recommended to prevent </w:t>
      </w:r>
      <w:proofErr w:type="spellStart"/>
      <w:r w:rsidR="00AA4DD2">
        <w:rPr>
          <w:rFonts w:asciiTheme="majorHAnsi" w:hAnsiTheme="majorHAnsi" w:cstheme="majorHAnsi"/>
        </w:rPr>
        <w:t>overfitting</w:t>
      </w:r>
      <w:proofErr w:type="spellEnd"/>
      <w:r w:rsidR="00AA4DD2">
        <w:rPr>
          <w:rFonts w:asciiTheme="majorHAnsi" w:hAnsiTheme="majorHAnsi" w:cstheme="majorHAnsi"/>
        </w:rPr>
        <w:t xml:space="preserve">, particularly in environments where background information is unclear, such as in the case of a particular </w:t>
      </w:r>
      <w:r w:rsidR="00FC5CBC">
        <w:rPr>
          <w:rFonts w:asciiTheme="majorHAnsi" w:hAnsiTheme="majorHAnsi" w:cstheme="majorHAnsi"/>
        </w:rPr>
        <w:t>industry or</w:t>
      </w:r>
      <w:r w:rsidR="00AA4DD2">
        <w:rPr>
          <w:rFonts w:asciiTheme="majorHAnsi" w:hAnsiTheme="majorHAnsi" w:cstheme="majorHAnsi"/>
        </w:rPr>
        <w:t xml:space="preserve"> </w:t>
      </w:r>
      <w:r w:rsidR="00FC5CBC">
        <w:rPr>
          <w:rFonts w:asciiTheme="majorHAnsi" w:hAnsiTheme="majorHAnsi" w:cstheme="majorHAnsi"/>
        </w:rPr>
        <w:t>firm</w:t>
      </w:r>
      <w:r w:rsidR="00AA4DD2">
        <w:rPr>
          <w:rFonts w:asciiTheme="majorHAnsi" w:hAnsiTheme="majorHAnsi" w:cstheme="majorHAnsi"/>
        </w:rPr>
        <w:t xml:space="preserve">. </w:t>
      </w:r>
      <w:r w:rsidR="009637E4">
        <w:rPr>
          <w:rFonts w:asciiTheme="majorHAnsi" w:hAnsiTheme="majorHAnsi" w:cstheme="majorHAnsi"/>
        </w:rPr>
        <w:t>(</w:t>
      </w:r>
      <w:proofErr w:type="spellStart"/>
      <w:r w:rsidR="009637E4">
        <w:rPr>
          <w:rFonts w:asciiTheme="majorHAnsi" w:hAnsiTheme="majorHAnsi" w:cstheme="majorHAnsi"/>
        </w:rPr>
        <w:t>Efron</w:t>
      </w:r>
      <w:proofErr w:type="spellEnd"/>
      <w:r w:rsidR="009637E4">
        <w:rPr>
          <w:rFonts w:asciiTheme="majorHAnsi" w:hAnsiTheme="majorHAnsi" w:cstheme="majorHAnsi"/>
        </w:rPr>
        <w:t xml:space="preserve"> 2013)</w:t>
      </w:r>
      <w:r w:rsidR="00AA4DD2">
        <w:rPr>
          <w:rFonts w:asciiTheme="majorHAnsi" w:hAnsiTheme="majorHAnsi" w:cstheme="majorHAnsi"/>
        </w:rPr>
        <w:t xml:space="preserve"> </w:t>
      </w:r>
    </w:p>
    <w:p w:rsidR="00D37056" w:rsidRPr="00D37056" w:rsidRDefault="00D37056" w:rsidP="00D37056">
      <w:pPr>
        <w:pStyle w:val="BodyText"/>
      </w:pPr>
      <w:r>
        <w:t>A simplified pres</w:t>
      </w:r>
      <w:r w:rsidR="00FE0367">
        <w:t>entation of the model is below:</w:t>
      </w:r>
    </w:p>
    <w:p w:rsidR="004740CA" w:rsidRDefault="00AD17A1" w:rsidP="009637E4">
      <w:pPr>
        <w:pStyle w:val="BodyText"/>
        <w:jc w:val="center"/>
        <w:rPr>
          <w:rFonts w:asciiTheme="majorHAnsi" w:hAnsiTheme="majorHAnsi" w:cstheme="majorHAnsi"/>
        </w:rPr>
      </w:pPr>
      <w:r w:rsidRPr="00D2683D">
        <w:rPr>
          <w:rFonts w:asciiTheme="majorHAnsi" w:hAnsiTheme="majorHAnsi" w:cstheme="majorHAnsi"/>
          <w:noProof/>
        </w:rPr>
        <w:drawing>
          <wp:inline distT="0" distB="0" distL="0" distR="0" wp14:anchorId="2AF06130" wp14:editId="62CD3D2F">
            <wp:extent cx="3943078" cy="158224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rrelatedchainladder/mathtype.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5393"/>
                    <a:stretch/>
                  </pic:blipFill>
                  <pic:spPr bwMode="auto">
                    <a:xfrm>
                      <a:off x="0" y="0"/>
                      <a:ext cx="3945855" cy="1583357"/>
                    </a:xfrm>
                    <a:prstGeom prst="rect">
                      <a:avLst/>
                    </a:prstGeom>
                    <a:noFill/>
                    <a:ln>
                      <a:noFill/>
                    </a:ln>
                    <a:extLst>
                      <a:ext uri="{53640926-AAD7-44D8-BBD7-CCE9431645EC}">
                        <a14:shadowObscured xmlns:a14="http://schemas.microsoft.com/office/drawing/2010/main"/>
                      </a:ext>
                    </a:extLst>
                  </pic:spPr>
                </pic:pic>
              </a:graphicData>
            </a:graphic>
          </wp:inline>
        </w:drawing>
      </w:r>
    </w:p>
    <w:p w:rsidR="00572148" w:rsidRPr="00572148" w:rsidRDefault="00572148" w:rsidP="009637E4">
      <w:pPr>
        <w:pStyle w:val="BodyText"/>
        <w:jc w:val="center"/>
        <w:rPr>
          <w:rFonts w:asciiTheme="majorHAnsi" w:hAnsiTheme="majorHAnsi" w:cstheme="majorHAnsi"/>
          <w:i/>
        </w:rPr>
      </w:pPr>
      <w:r>
        <w:rPr>
          <w:rFonts w:asciiTheme="majorHAnsi" w:hAnsiTheme="majorHAnsi" w:cstheme="majorHAnsi"/>
          <w:i/>
        </w:rPr>
        <w:t>Fig. 2: Bayesian Model with Adaptive Priors</w:t>
      </w:r>
    </w:p>
    <w:p w:rsidR="004740CA" w:rsidRPr="00D2683D" w:rsidRDefault="00AD17A1">
      <w:pPr>
        <w:pStyle w:val="BodyText"/>
        <w:rPr>
          <w:rFonts w:asciiTheme="majorHAnsi" w:hAnsiTheme="majorHAnsi" w:cstheme="majorHAnsi"/>
        </w:rPr>
      </w:pPr>
      <w:r w:rsidRPr="00D2683D">
        <w:rPr>
          <w:rFonts w:asciiTheme="majorHAnsi" w:hAnsiTheme="majorHAnsi" w:cstheme="majorHAnsi"/>
        </w:rPr>
        <w:t xml:space="preserve">Rather than setting </w:t>
      </w:r>
      <m:oMath>
        <m:sSub>
          <m:sSubPr>
            <m:ctrlPr>
              <w:rPr>
                <w:rFonts w:ascii="Cambria Math" w:hAnsi="Cambria Math" w:cstheme="majorHAnsi"/>
              </w:rPr>
            </m:ctrlPr>
          </m:sSubPr>
          <m:e>
            <m:r>
              <w:rPr>
                <w:rFonts w:ascii="Cambria Math" w:hAnsi="Cambria Math" w:cstheme="majorHAnsi"/>
              </w:rPr>
              <m:t>α</m:t>
            </m:r>
          </m:e>
          <m:sub>
            <m:r>
              <w:rPr>
                <w:rFonts w:ascii="Cambria Math" w:hAnsi="Cambria Math" w:cstheme="majorHAnsi"/>
              </w:rPr>
              <m:t>w</m:t>
            </m:r>
          </m:sub>
        </m:sSub>
      </m:oMath>
      <w:r w:rsidRPr="00D2683D">
        <w:rPr>
          <w:rFonts w:asciiTheme="majorHAnsi" w:hAnsiTheme="majorHAnsi" w:cstheme="majorHAnsi"/>
        </w:rPr>
        <w:t xml:space="preserve"> as a function of a fixed </w:t>
      </w:r>
      <w:r w:rsidR="008034EA">
        <w:rPr>
          <w:rFonts w:asciiTheme="majorHAnsi" w:hAnsiTheme="majorHAnsi" w:cstheme="majorHAnsi"/>
        </w:rPr>
        <w:t>parameter</w:t>
      </w:r>
      <w:r w:rsidRPr="00D2683D">
        <w:rPr>
          <w:rFonts w:asciiTheme="majorHAnsi" w:hAnsiTheme="majorHAnsi" w:cstheme="majorHAnsi"/>
        </w:rPr>
        <w:t xml:space="preserve">, it is given its own adaptive priors that are a function of the data. Furthermore, variance hyperparameters </w:t>
      </w:r>
      <m:oMath>
        <m:sSub>
          <m:sSubPr>
            <m:ctrlPr>
              <w:rPr>
                <w:rFonts w:ascii="Cambria Math" w:hAnsi="Cambria Math" w:cstheme="majorHAnsi"/>
              </w:rPr>
            </m:ctrlPr>
          </m:sSubPr>
          <m:e>
            <m:r>
              <w:rPr>
                <w:rFonts w:ascii="Cambria Math" w:hAnsi="Cambria Math" w:cstheme="majorHAnsi"/>
              </w:rPr>
              <m:t>σ</m:t>
            </m:r>
          </m:e>
          <m:sub>
            <m:r>
              <w:rPr>
                <w:rFonts w:ascii="Cambria Math" w:hAnsi="Cambria Math" w:cstheme="majorHAnsi"/>
              </w:rPr>
              <m:t>α</m:t>
            </m:r>
          </m:sub>
        </m:sSub>
      </m:oMath>
      <w:r w:rsidRPr="00D2683D">
        <w:rPr>
          <w:rFonts w:asciiTheme="majorHAnsi" w:hAnsiTheme="majorHAnsi" w:cstheme="majorHAnsi"/>
        </w:rPr>
        <w:t xml:space="preserve"> and </w:t>
      </w:r>
      <m:oMath>
        <m:sSub>
          <m:sSubPr>
            <m:ctrlPr>
              <w:rPr>
                <w:rFonts w:ascii="Cambria Math" w:hAnsi="Cambria Math" w:cstheme="majorHAnsi"/>
              </w:rPr>
            </m:ctrlPr>
          </m:sSubPr>
          <m:e>
            <m:r>
              <w:rPr>
                <w:rFonts w:ascii="Cambria Math" w:hAnsi="Cambria Math" w:cstheme="majorHAnsi"/>
              </w:rPr>
              <m:t>σ</m:t>
            </m:r>
          </m:e>
          <m:sub>
            <m:r>
              <w:rPr>
                <w:rFonts w:ascii="Cambria Math" w:hAnsi="Cambria Math" w:cstheme="majorHAnsi"/>
              </w:rPr>
              <m:t>β</m:t>
            </m:r>
          </m:sub>
        </m:sSub>
      </m:oMath>
      <w:r w:rsidRPr="00D2683D">
        <w:rPr>
          <w:rFonts w:asciiTheme="majorHAnsi" w:hAnsiTheme="majorHAnsi" w:cstheme="majorHAnsi"/>
        </w:rPr>
        <w:t xml:space="preserve"> have been given exponential, rather than uniform, distributions.</w:t>
      </w:r>
    </w:p>
    <w:p w:rsidR="004740CA" w:rsidRPr="00D2683D" w:rsidRDefault="00AD17A1">
      <w:pPr>
        <w:pStyle w:val="Heading3"/>
        <w:rPr>
          <w:rFonts w:cstheme="majorHAnsi"/>
        </w:rPr>
      </w:pPr>
      <w:bookmarkStart w:id="5" w:name="results"/>
      <w:bookmarkEnd w:id="5"/>
      <w:r w:rsidRPr="00D2683D">
        <w:rPr>
          <w:rFonts w:cstheme="majorHAnsi"/>
        </w:rPr>
        <w:t>Results</w:t>
      </w:r>
    </w:p>
    <w:p w:rsidR="004740CA" w:rsidRPr="00D2683D" w:rsidRDefault="00AD17A1">
      <w:pPr>
        <w:pStyle w:val="FirstParagraph"/>
        <w:rPr>
          <w:rFonts w:asciiTheme="majorHAnsi" w:hAnsiTheme="majorHAnsi" w:cstheme="majorHAnsi"/>
        </w:rPr>
      </w:pPr>
      <w:r w:rsidRPr="00D2683D">
        <w:rPr>
          <w:rFonts w:asciiTheme="majorHAnsi" w:hAnsiTheme="majorHAnsi" w:cstheme="majorHAnsi"/>
        </w:rPr>
        <w:t xml:space="preserve">Both </w:t>
      </w:r>
      <w:proofErr w:type="gramStart"/>
      <w:r w:rsidRPr="00D2683D">
        <w:rPr>
          <w:rFonts w:asciiTheme="majorHAnsi" w:hAnsiTheme="majorHAnsi" w:cstheme="majorHAnsi"/>
        </w:rPr>
        <w:t>Meyers</w:t>
      </w:r>
      <w:proofErr w:type="gramEnd"/>
      <w:r w:rsidRPr="00D2683D">
        <w:rPr>
          <w:rFonts w:asciiTheme="majorHAnsi" w:hAnsiTheme="majorHAnsi" w:cstheme="majorHAnsi"/>
        </w:rPr>
        <w:t xml:space="preserve"> original CCL model and the adaptive prior model were executed</w:t>
      </w:r>
      <w:r w:rsidR="00AC2C14">
        <w:rPr>
          <w:rFonts w:asciiTheme="majorHAnsi" w:hAnsiTheme="majorHAnsi" w:cstheme="majorHAnsi"/>
        </w:rPr>
        <w:t xml:space="preserve"> using the statistical software R and JAGs for MCMC</w:t>
      </w:r>
      <w:r w:rsidRPr="00D2683D">
        <w:rPr>
          <w:rFonts w:asciiTheme="majorHAnsi" w:hAnsiTheme="majorHAnsi" w:cstheme="majorHAnsi"/>
        </w:rPr>
        <w:t>. Results for Meyers model exactly matched the original monograph. The adaptive prior model generated similar, but not identical results.</w:t>
      </w:r>
    </w:p>
    <w:p w:rsidR="004740CA" w:rsidRDefault="00D2683D" w:rsidP="00DC1A78">
      <w:pPr>
        <w:pStyle w:val="FirstParagraph"/>
        <w:jc w:val="center"/>
        <w:rPr>
          <w:rFonts w:asciiTheme="majorHAnsi" w:hAnsiTheme="majorHAnsi" w:cstheme="majorHAnsi"/>
        </w:rPr>
      </w:pPr>
      <w:r w:rsidRPr="00D2683D">
        <w:rPr>
          <w:rFonts w:asciiTheme="majorHAnsi" w:hAnsiTheme="majorHAnsi" w:cstheme="majorHAnsi"/>
          <w:noProof/>
        </w:rPr>
        <w:lastRenderedPageBreak/>
        <w:drawing>
          <wp:inline distT="0" distB="0" distL="0" distR="0" wp14:anchorId="76B1309A" wp14:editId="06A27FCE">
            <wp:extent cx="4050515" cy="2468078"/>
            <wp:effectExtent l="0" t="0" r="762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plot.jpeg"/>
                    <pic:cNvPicPr/>
                  </pic:nvPicPr>
                  <pic:blipFill>
                    <a:blip r:embed="rId10">
                      <a:extLst>
                        <a:ext uri="{28A0092B-C50C-407E-A947-70E740481C1C}">
                          <a14:useLocalDpi xmlns:a14="http://schemas.microsoft.com/office/drawing/2010/main" val="0"/>
                        </a:ext>
                      </a:extLst>
                    </a:blip>
                    <a:stretch>
                      <a:fillRect/>
                    </a:stretch>
                  </pic:blipFill>
                  <pic:spPr>
                    <a:xfrm>
                      <a:off x="0" y="0"/>
                      <a:ext cx="4055718" cy="2471248"/>
                    </a:xfrm>
                    <a:prstGeom prst="rect">
                      <a:avLst/>
                    </a:prstGeom>
                  </pic:spPr>
                </pic:pic>
              </a:graphicData>
            </a:graphic>
          </wp:inline>
        </w:drawing>
      </w:r>
    </w:p>
    <w:p w:rsidR="004D663A" w:rsidRPr="004D663A" w:rsidRDefault="004D663A" w:rsidP="001D14B6">
      <w:pPr>
        <w:pStyle w:val="BodyText"/>
        <w:jc w:val="center"/>
        <w:rPr>
          <w:i/>
        </w:rPr>
      </w:pPr>
      <w:r>
        <w:rPr>
          <w:i/>
        </w:rPr>
        <w:t>Fig 3: Distribution of Differences in Coefficient of Variation</w:t>
      </w:r>
    </w:p>
    <w:p w:rsidR="003F1B26" w:rsidRPr="00D2683D" w:rsidRDefault="00AD17A1">
      <w:pPr>
        <w:pStyle w:val="BodyText"/>
        <w:rPr>
          <w:rFonts w:asciiTheme="majorHAnsi" w:hAnsiTheme="majorHAnsi" w:cstheme="majorHAnsi"/>
        </w:rPr>
      </w:pPr>
      <w:r w:rsidRPr="00D2683D">
        <w:rPr>
          <w:rFonts w:asciiTheme="majorHAnsi" w:hAnsiTheme="majorHAnsi" w:cstheme="majorHAnsi"/>
        </w:rPr>
        <w:t>A paired t-test rejects the hypothesis that the variation is different be</w:t>
      </w:r>
      <w:r w:rsidR="009208BE">
        <w:rPr>
          <w:rFonts w:asciiTheme="majorHAnsi" w:hAnsiTheme="majorHAnsi" w:cstheme="majorHAnsi"/>
        </w:rPr>
        <w:t xml:space="preserve">tween models (p=0.42, </w:t>
      </w:r>
      <w:proofErr w:type="spellStart"/>
      <w:proofErr w:type="gramStart"/>
      <w:r w:rsidR="009208BE">
        <w:rPr>
          <w:rFonts w:asciiTheme="majorHAnsi" w:hAnsiTheme="majorHAnsi" w:cstheme="majorHAnsi"/>
        </w:rPr>
        <w:t>df</w:t>
      </w:r>
      <w:proofErr w:type="spellEnd"/>
      <w:r w:rsidR="009208BE">
        <w:rPr>
          <w:rFonts w:asciiTheme="majorHAnsi" w:hAnsiTheme="majorHAnsi" w:cstheme="majorHAnsi"/>
        </w:rPr>
        <w:t>=</w:t>
      </w:r>
      <w:proofErr w:type="gramEnd"/>
      <w:r w:rsidR="009208BE">
        <w:rPr>
          <w:rFonts w:asciiTheme="majorHAnsi" w:hAnsiTheme="majorHAnsi" w:cstheme="majorHAnsi"/>
        </w:rPr>
        <w:t>47</w:t>
      </w:r>
      <w:r w:rsidRPr="00D2683D">
        <w:rPr>
          <w:rFonts w:asciiTheme="majorHAnsi" w:hAnsiTheme="majorHAnsi" w:cstheme="majorHAnsi"/>
        </w:rPr>
        <w:t>).</w:t>
      </w:r>
      <w:r w:rsidR="00DC1A78">
        <w:rPr>
          <w:rFonts w:asciiTheme="majorHAnsi" w:hAnsiTheme="majorHAnsi" w:cstheme="majorHAnsi"/>
        </w:rPr>
        <w:t xml:space="preserve"> However, the variation is smaller for the model with adaptive priors, indicating some </w:t>
      </w:r>
      <w:r w:rsidR="001D14B6">
        <w:rPr>
          <w:rFonts w:asciiTheme="majorHAnsi" w:hAnsiTheme="majorHAnsi" w:cstheme="majorHAnsi"/>
        </w:rPr>
        <w:t xml:space="preserve">potential </w:t>
      </w:r>
      <w:r w:rsidR="00DC1A78">
        <w:rPr>
          <w:rFonts w:asciiTheme="majorHAnsi" w:hAnsiTheme="majorHAnsi" w:cstheme="majorHAnsi"/>
        </w:rPr>
        <w:t>improvement in accuracy.</w:t>
      </w:r>
    </w:p>
    <w:p w:rsidR="004740CA" w:rsidRDefault="00AD17A1" w:rsidP="00DF1EAF">
      <w:pPr>
        <w:pStyle w:val="BodyText"/>
        <w:jc w:val="center"/>
        <w:rPr>
          <w:rFonts w:asciiTheme="majorHAnsi" w:hAnsiTheme="majorHAnsi" w:cstheme="majorHAnsi"/>
        </w:rPr>
      </w:pPr>
      <w:r w:rsidRPr="00D2683D">
        <w:rPr>
          <w:rFonts w:asciiTheme="majorHAnsi" w:hAnsiTheme="majorHAnsi" w:cstheme="majorHAnsi"/>
          <w:noProof/>
        </w:rPr>
        <w:drawing>
          <wp:inline distT="0" distB="0" distL="0" distR="0" wp14:anchorId="230DBF0E" wp14:editId="61673EEC">
            <wp:extent cx="5334000" cy="234323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able/table.png"/>
                    <pic:cNvPicPr>
                      <a:picLocks noChangeAspect="1" noChangeArrowheads="1"/>
                    </pic:cNvPicPr>
                  </pic:nvPicPr>
                  <pic:blipFill>
                    <a:blip r:embed="rId11"/>
                    <a:stretch>
                      <a:fillRect/>
                    </a:stretch>
                  </pic:blipFill>
                  <pic:spPr bwMode="auto">
                    <a:xfrm>
                      <a:off x="0" y="0"/>
                      <a:ext cx="5334000" cy="2343239"/>
                    </a:xfrm>
                    <a:prstGeom prst="rect">
                      <a:avLst/>
                    </a:prstGeom>
                    <a:noFill/>
                    <a:ln w="9525">
                      <a:noFill/>
                      <a:headEnd/>
                      <a:tailEnd/>
                    </a:ln>
                  </pic:spPr>
                </pic:pic>
              </a:graphicData>
            </a:graphic>
          </wp:inline>
        </w:drawing>
      </w:r>
    </w:p>
    <w:p w:rsidR="00E037B9" w:rsidRDefault="00E037B9" w:rsidP="00E037B9">
      <w:pPr>
        <w:pStyle w:val="BodyText"/>
        <w:rPr>
          <w:rFonts w:asciiTheme="majorHAnsi" w:hAnsiTheme="majorHAnsi" w:cstheme="majorHAnsi"/>
        </w:rPr>
      </w:pPr>
      <w:r w:rsidRPr="00D2683D">
        <w:rPr>
          <w:rFonts w:asciiTheme="majorHAnsi" w:hAnsiTheme="majorHAnsi" w:cstheme="majorHAnsi"/>
        </w:rPr>
        <w:t>Both tests made large errors in</w:t>
      </w:r>
      <w:r>
        <w:rPr>
          <w:rFonts w:asciiTheme="majorHAnsi" w:hAnsiTheme="majorHAnsi" w:cstheme="majorHAnsi"/>
        </w:rPr>
        <w:t xml:space="preserve"> predicting incurred losses </w:t>
      </w:r>
      <w:r w:rsidR="00151206">
        <w:rPr>
          <w:rFonts w:asciiTheme="majorHAnsi" w:hAnsiTheme="majorHAnsi" w:cstheme="majorHAnsi"/>
        </w:rPr>
        <w:t>for smaller, low-loss accounts</w:t>
      </w:r>
      <w:r>
        <w:rPr>
          <w:rFonts w:asciiTheme="majorHAnsi" w:hAnsiTheme="majorHAnsi" w:cstheme="majorHAnsi"/>
        </w:rPr>
        <w:t xml:space="preserve">. Future research may want to </w:t>
      </w:r>
      <w:r w:rsidR="001F60BB">
        <w:rPr>
          <w:rFonts w:asciiTheme="majorHAnsi" w:hAnsiTheme="majorHAnsi" w:cstheme="majorHAnsi"/>
        </w:rPr>
        <w:t xml:space="preserve">allow for </w:t>
      </w:r>
      <w:r w:rsidR="00B74111">
        <w:rPr>
          <w:rFonts w:asciiTheme="majorHAnsi" w:hAnsiTheme="majorHAnsi" w:cstheme="majorHAnsi"/>
        </w:rPr>
        <w:t xml:space="preserve">an </w:t>
      </w:r>
      <w:r w:rsidR="001F60BB">
        <w:rPr>
          <w:rFonts w:asciiTheme="majorHAnsi" w:hAnsiTheme="majorHAnsi" w:cstheme="majorHAnsi"/>
        </w:rPr>
        <w:t xml:space="preserve">upper bound on </w:t>
      </w:r>
      <w:r w:rsidR="00605B85">
        <w:rPr>
          <w:rFonts w:asciiTheme="majorHAnsi" w:hAnsiTheme="majorHAnsi" w:cstheme="majorHAnsi"/>
        </w:rPr>
        <w:t xml:space="preserve">within-year </w:t>
      </w:r>
      <w:r w:rsidR="00B74111">
        <w:rPr>
          <w:rFonts w:asciiTheme="majorHAnsi" w:hAnsiTheme="majorHAnsi" w:cstheme="majorHAnsi"/>
        </w:rPr>
        <w:t>prediction</w:t>
      </w:r>
      <w:r w:rsidR="00605B85">
        <w:rPr>
          <w:rFonts w:asciiTheme="majorHAnsi" w:hAnsiTheme="majorHAnsi" w:cstheme="majorHAnsi"/>
        </w:rPr>
        <w:t xml:space="preserve"> of development lags when existing lags </w:t>
      </w:r>
      <w:r w:rsidR="00151206">
        <w:rPr>
          <w:rFonts w:asciiTheme="majorHAnsi" w:hAnsiTheme="majorHAnsi" w:cstheme="majorHAnsi"/>
        </w:rPr>
        <w:t>indicate not change (ex. 1990, above).</w:t>
      </w:r>
    </w:p>
    <w:p w:rsidR="00CC2F63" w:rsidRDefault="00CC2F63">
      <w:pPr>
        <w:rPr>
          <w:rFonts w:asciiTheme="majorHAnsi" w:eastAsiaTheme="majorEastAsia" w:hAnsiTheme="majorHAnsi" w:cstheme="majorHAnsi"/>
          <w:b/>
          <w:bCs/>
          <w:color w:val="4F81BD" w:themeColor="accent1"/>
          <w:sz w:val="28"/>
          <w:szCs w:val="28"/>
        </w:rPr>
      </w:pPr>
      <w:r>
        <w:rPr>
          <w:rFonts w:cstheme="majorHAnsi"/>
        </w:rPr>
        <w:br w:type="page"/>
      </w:r>
    </w:p>
    <w:p w:rsidR="00A15D07" w:rsidRDefault="00A15D07" w:rsidP="00A15D07">
      <w:pPr>
        <w:pStyle w:val="Heading3"/>
        <w:rPr>
          <w:rFonts w:cstheme="majorHAnsi"/>
        </w:rPr>
      </w:pPr>
      <w:r>
        <w:rPr>
          <w:rFonts w:cstheme="majorHAnsi"/>
        </w:rPr>
        <w:lastRenderedPageBreak/>
        <w:t>Works Cited</w:t>
      </w:r>
    </w:p>
    <w:p w:rsidR="00B86D7F" w:rsidRPr="00B86D7F" w:rsidRDefault="00B86D7F" w:rsidP="00545819">
      <w:pPr>
        <w:pStyle w:val="BodyText"/>
        <w:rPr>
          <w:rFonts w:asciiTheme="majorHAnsi" w:hAnsiTheme="majorHAnsi" w:cstheme="majorHAnsi"/>
        </w:rPr>
      </w:pPr>
      <w:proofErr w:type="spellStart"/>
      <w:r>
        <w:rPr>
          <w:rFonts w:asciiTheme="majorHAnsi" w:hAnsiTheme="majorHAnsi" w:cstheme="majorHAnsi"/>
        </w:rPr>
        <w:t>Efron</w:t>
      </w:r>
      <w:proofErr w:type="spellEnd"/>
      <w:r>
        <w:rPr>
          <w:rFonts w:asciiTheme="majorHAnsi" w:hAnsiTheme="majorHAnsi" w:cstheme="majorHAnsi"/>
        </w:rPr>
        <w:t xml:space="preserve">, Bradley. 2013. </w:t>
      </w:r>
      <w:r w:rsidRPr="00B86D7F">
        <w:rPr>
          <w:rFonts w:asciiTheme="majorHAnsi" w:hAnsiTheme="majorHAnsi" w:cstheme="majorHAnsi"/>
          <w:i/>
        </w:rPr>
        <w:t>Large Scale Inference</w:t>
      </w:r>
      <w:r>
        <w:rPr>
          <w:rFonts w:asciiTheme="majorHAnsi" w:hAnsiTheme="majorHAnsi" w:cstheme="majorHAnsi"/>
        </w:rPr>
        <w:t xml:space="preserve">. </w:t>
      </w:r>
      <w:proofErr w:type="gramStart"/>
      <w:r w:rsidRPr="00B86D7F">
        <w:rPr>
          <w:rFonts w:asciiTheme="majorHAnsi" w:hAnsiTheme="majorHAnsi" w:cstheme="majorHAnsi"/>
        </w:rPr>
        <w:t>Cambridge University Press</w:t>
      </w:r>
      <w:r>
        <w:rPr>
          <w:rFonts w:asciiTheme="majorHAnsi" w:hAnsiTheme="majorHAnsi" w:cstheme="majorHAnsi"/>
        </w:rPr>
        <w:t>.</w:t>
      </w:r>
      <w:proofErr w:type="gramEnd"/>
    </w:p>
    <w:p w:rsidR="00545819" w:rsidRDefault="00545819" w:rsidP="00545819">
      <w:pPr>
        <w:pStyle w:val="BodyText"/>
        <w:rPr>
          <w:rFonts w:asciiTheme="majorHAnsi" w:hAnsiTheme="majorHAnsi" w:cstheme="majorHAnsi"/>
        </w:rPr>
      </w:pPr>
      <w:r w:rsidRPr="00545819">
        <w:rPr>
          <w:rFonts w:asciiTheme="majorHAnsi" w:hAnsiTheme="majorHAnsi" w:cstheme="majorHAnsi"/>
        </w:rPr>
        <w:t>Mack, Thomas. 1994. “Measuring the Variability of C</w:t>
      </w:r>
      <w:r>
        <w:rPr>
          <w:rFonts w:asciiTheme="majorHAnsi" w:hAnsiTheme="majorHAnsi" w:cstheme="majorHAnsi"/>
        </w:rPr>
        <w:t xml:space="preserve">hain Ladder Reserve Estimates.” </w:t>
      </w:r>
      <w:r w:rsidRPr="00545819">
        <w:rPr>
          <w:rFonts w:asciiTheme="majorHAnsi" w:hAnsiTheme="majorHAnsi" w:cstheme="majorHAnsi"/>
        </w:rPr>
        <w:t>Casualty Actuarial Society Forum (</w:t>
      </w:r>
      <w:proofErr w:type="gramStart"/>
      <w:r w:rsidRPr="00545819">
        <w:rPr>
          <w:rFonts w:asciiTheme="majorHAnsi" w:hAnsiTheme="majorHAnsi" w:cstheme="majorHAnsi"/>
        </w:rPr>
        <w:t>Spring</w:t>
      </w:r>
      <w:proofErr w:type="gramEnd"/>
      <w:r w:rsidRPr="00545819">
        <w:rPr>
          <w:rFonts w:asciiTheme="majorHAnsi" w:hAnsiTheme="majorHAnsi" w:cstheme="majorHAnsi"/>
        </w:rPr>
        <w:t>):101–182.</w:t>
      </w:r>
    </w:p>
    <w:p w:rsidR="0065707E" w:rsidRDefault="0065707E" w:rsidP="00545819">
      <w:pPr>
        <w:pStyle w:val="BodyText"/>
        <w:rPr>
          <w:rFonts w:asciiTheme="majorHAnsi" w:hAnsiTheme="majorHAnsi" w:cstheme="majorHAnsi"/>
          <w:color w:val="0000FF"/>
          <w:u w:val="single"/>
        </w:rPr>
      </w:pPr>
      <w:r>
        <w:rPr>
          <w:rFonts w:asciiTheme="majorHAnsi" w:hAnsiTheme="majorHAnsi" w:cstheme="majorHAnsi"/>
        </w:rPr>
        <w:t xml:space="preserve">Meyers, Glenn. 2011. “Loss Reserving Data Pulled from NAIC Schedule P.” </w:t>
      </w:r>
      <w:proofErr w:type="gramStart"/>
      <w:r>
        <w:rPr>
          <w:rFonts w:asciiTheme="majorHAnsi" w:hAnsiTheme="majorHAnsi" w:cstheme="majorHAnsi"/>
        </w:rPr>
        <w:t>Casualty Actuarial Society.</w:t>
      </w:r>
      <w:proofErr w:type="gramEnd"/>
      <w:r>
        <w:rPr>
          <w:rFonts w:asciiTheme="majorHAnsi" w:hAnsiTheme="majorHAnsi" w:cstheme="majorHAnsi"/>
        </w:rPr>
        <w:t xml:space="preserve"> </w:t>
      </w:r>
      <w:hyperlink r:id="rId12" w:history="1">
        <w:r w:rsidRPr="0065707E">
          <w:rPr>
            <w:rStyle w:val="Hyperlink"/>
            <w:rFonts w:asciiTheme="majorHAnsi" w:hAnsiTheme="majorHAnsi" w:cstheme="majorHAnsi"/>
            <w:color w:val="0000FF"/>
            <w:u w:val="single"/>
          </w:rPr>
          <w:t>https://www.casact.org/research/index.cfm?fa=loss_reserves_data</w:t>
        </w:r>
      </w:hyperlink>
    </w:p>
    <w:p w:rsidR="0065707E" w:rsidRPr="00A15D07" w:rsidRDefault="0065707E" w:rsidP="0065707E">
      <w:pPr>
        <w:pStyle w:val="BodyText"/>
      </w:pPr>
      <w:r>
        <w:rPr>
          <w:rFonts w:asciiTheme="majorHAnsi" w:hAnsiTheme="majorHAnsi" w:cstheme="majorHAnsi"/>
        </w:rPr>
        <w:t>Meyers, Glenn. 2015. “</w:t>
      </w:r>
      <w:hyperlink r:id="rId13" w:history="1">
        <w:r w:rsidRPr="00B86D7F">
          <w:rPr>
            <w:rStyle w:val="Hyperlink"/>
            <w:rFonts w:asciiTheme="majorHAnsi" w:hAnsiTheme="majorHAnsi" w:cstheme="majorHAnsi"/>
            <w:color w:val="0000FF"/>
          </w:rPr>
          <w:t>Stochastic Loss Reserving Using Bayesian MCMC Models.</w:t>
        </w:r>
      </w:hyperlink>
      <w:r>
        <w:rPr>
          <w:rFonts w:asciiTheme="majorHAnsi" w:hAnsiTheme="majorHAnsi" w:cstheme="majorHAnsi"/>
        </w:rPr>
        <w:t xml:space="preserve">” </w:t>
      </w:r>
      <w:proofErr w:type="gramStart"/>
      <w:r>
        <w:rPr>
          <w:rFonts w:asciiTheme="majorHAnsi" w:hAnsiTheme="majorHAnsi" w:cstheme="majorHAnsi"/>
        </w:rPr>
        <w:t>CAS Monograph Series Number 1.</w:t>
      </w:r>
      <w:proofErr w:type="gramEnd"/>
      <w:r>
        <w:rPr>
          <w:rFonts w:asciiTheme="majorHAnsi" w:hAnsiTheme="majorHAnsi" w:cstheme="majorHAnsi"/>
        </w:rPr>
        <w:t xml:space="preserve"> </w:t>
      </w:r>
      <w:proofErr w:type="gramStart"/>
      <w:r>
        <w:rPr>
          <w:rFonts w:asciiTheme="majorHAnsi" w:hAnsiTheme="majorHAnsi" w:cstheme="majorHAnsi"/>
        </w:rPr>
        <w:t>Casualty Actuarial Society.</w:t>
      </w:r>
      <w:proofErr w:type="gramEnd"/>
      <w:r>
        <w:rPr>
          <w:rFonts w:asciiTheme="majorHAnsi" w:hAnsiTheme="majorHAnsi" w:cstheme="majorHAnsi"/>
        </w:rPr>
        <w:t xml:space="preserve"> </w:t>
      </w:r>
    </w:p>
    <w:p w:rsidR="0065707E" w:rsidRPr="00D2683D" w:rsidRDefault="0065707E" w:rsidP="00545819">
      <w:pPr>
        <w:pStyle w:val="BodyText"/>
        <w:rPr>
          <w:rFonts w:asciiTheme="majorHAnsi" w:hAnsiTheme="majorHAnsi" w:cstheme="majorHAnsi"/>
        </w:rPr>
      </w:pPr>
    </w:p>
    <w:p w:rsidR="00E037B9" w:rsidRPr="00D2683D" w:rsidRDefault="00E037B9">
      <w:pPr>
        <w:pStyle w:val="BodyText"/>
        <w:rPr>
          <w:rFonts w:asciiTheme="majorHAnsi" w:hAnsiTheme="majorHAnsi" w:cstheme="majorHAnsi"/>
        </w:rPr>
      </w:pPr>
    </w:p>
    <w:sectPr w:rsidR="00E037B9" w:rsidRPr="00D2683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87B" w:rsidRDefault="005A587B">
      <w:pPr>
        <w:spacing w:after="0"/>
      </w:pPr>
      <w:r>
        <w:separator/>
      </w:r>
    </w:p>
  </w:endnote>
  <w:endnote w:type="continuationSeparator" w:id="0">
    <w:p w:rsidR="005A587B" w:rsidRDefault="005A5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87B" w:rsidRDefault="005A587B">
      <w:r>
        <w:separator/>
      </w:r>
    </w:p>
  </w:footnote>
  <w:footnote w:type="continuationSeparator" w:id="0">
    <w:p w:rsidR="005A587B" w:rsidRDefault="005A58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27122C"/>
    <w:multiLevelType w:val="multilevel"/>
    <w:tmpl w:val="FA52C6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DCC2F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2022"/>
    <w:rsid w:val="000E10B0"/>
    <w:rsid w:val="000E18EA"/>
    <w:rsid w:val="00120AD0"/>
    <w:rsid w:val="00151206"/>
    <w:rsid w:val="0018117C"/>
    <w:rsid w:val="00187198"/>
    <w:rsid w:val="001D14B6"/>
    <w:rsid w:val="001F60BB"/>
    <w:rsid w:val="002165CA"/>
    <w:rsid w:val="0022705D"/>
    <w:rsid w:val="003F1B26"/>
    <w:rsid w:val="00454C3E"/>
    <w:rsid w:val="004740CA"/>
    <w:rsid w:val="004D663A"/>
    <w:rsid w:val="004E29B3"/>
    <w:rsid w:val="00545819"/>
    <w:rsid w:val="00572148"/>
    <w:rsid w:val="00590D07"/>
    <w:rsid w:val="005A587B"/>
    <w:rsid w:val="005B27C9"/>
    <w:rsid w:val="006019A2"/>
    <w:rsid w:val="00605B85"/>
    <w:rsid w:val="0065707E"/>
    <w:rsid w:val="0072323B"/>
    <w:rsid w:val="00784D58"/>
    <w:rsid w:val="007F2FFB"/>
    <w:rsid w:val="008034EA"/>
    <w:rsid w:val="008350DB"/>
    <w:rsid w:val="008D6863"/>
    <w:rsid w:val="009208BE"/>
    <w:rsid w:val="009637E4"/>
    <w:rsid w:val="00964B6F"/>
    <w:rsid w:val="009F749E"/>
    <w:rsid w:val="009F7A9A"/>
    <w:rsid w:val="00A15D07"/>
    <w:rsid w:val="00A20562"/>
    <w:rsid w:val="00A53135"/>
    <w:rsid w:val="00AA4DD2"/>
    <w:rsid w:val="00AC2C14"/>
    <w:rsid w:val="00AD17A1"/>
    <w:rsid w:val="00B03C21"/>
    <w:rsid w:val="00B075C7"/>
    <w:rsid w:val="00B24614"/>
    <w:rsid w:val="00B74111"/>
    <w:rsid w:val="00B86B75"/>
    <w:rsid w:val="00B86D7F"/>
    <w:rsid w:val="00BC48D5"/>
    <w:rsid w:val="00BE0B94"/>
    <w:rsid w:val="00C36279"/>
    <w:rsid w:val="00CC2F63"/>
    <w:rsid w:val="00CC4B39"/>
    <w:rsid w:val="00CF4645"/>
    <w:rsid w:val="00D159DB"/>
    <w:rsid w:val="00D17842"/>
    <w:rsid w:val="00D2683D"/>
    <w:rsid w:val="00D32F47"/>
    <w:rsid w:val="00D37056"/>
    <w:rsid w:val="00D40DAC"/>
    <w:rsid w:val="00DC1A78"/>
    <w:rsid w:val="00DF1EAF"/>
    <w:rsid w:val="00E037B9"/>
    <w:rsid w:val="00E315A3"/>
    <w:rsid w:val="00EA388F"/>
    <w:rsid w:val="00F064DC"/>
    <w:rsid w:val="00F4017F"/>
    <w:rsid w:val="00FC5CBC"/>
    <w:rsid w:val="00FE036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D2683D"/>
    <w:pPr>
      <w:spacing w:after="0"/>
    </w:pPr>
    <w:rPr>
      <w:rFonts w:ascii="Tahoma" w:hAnsi="Tahoma" w:cs="Tahoma"/>
      <w:sz w:val="16"/>
      <w:szCs w:val="16"/>
    </w:rPr>
  </w:style>
  <w:style w:type="character" w:customStyle="1" w:styleId="BalloonTextChar">
    <w:name w:val="Balloon Text Char"/>
    <w:basedOn w:val="DefaultParagraphFont"/>
    <w:link w:val="BalloonText"/>
    <w:rsid w:val="00D268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D2683D"/>
    <w:pPr>
      <w:spacing w:after="0"/>
    </w:pPr>
    <w:rPr>
      <w:rFonts w:ascii="Tahoma" w:hAnsi="Tahoma" w:cs="Tahoma"/>
      <w:sz w:val="16"/>
      <w:szCs w:val="16"/>
    </w:rPr>
  </w:style>
  <w:style w:type="character" w:customStyle="1" w:styleId="BalloonTextChar">
    <w:name w:val="Balloon Text Char"/>
    <w:basedOn w:val="DefaultParagraphFont"/>
    <w:link w:val="BalloonText"/>
    <w:rsid w:val="00D268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asact.org/pubs/monographs/papers/01-Meyers.PD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casact.org/research/index.cfm?fa=loss_reserves_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Evidence that Correlated Chain Ladders with Adaptive Priors Can Improve Loss Reserve Forecast Predictive Accuracy</vt:lpstr>
    </vt:vector>
  </TitlesOfParts>
  <Company/>
  <LinksUpToDate>false</LinksUpToDate>
  <CharactersWithSpaces>3985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Evidence that Correlated Chain Ladders with Adaptive Priors Can Improve Loss Reserve Forecast Predictive Accuracy</dc:title>
  <dc:creator>Blake Shurtz</dc:creator>
  <cp:lastModifiedBy>Blake Shurtz</cp:lastModifiedBy>
  <cp:revision>57</cp:revision>
  <cp:lastPrinted>2019-06-30T23:32:00Z</cp:lastPrinted>
  <dcterms:created xsi:type="dcterms:W3CDTF">2019-06-30T22:57:00Z</dcterms:created>
  <dcterms:modified xsi:type="dcterms:W3CDTF">2019-06-30T23:32:00Z</dcterms:modified>
</cp:coreProperties>
</file>