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  <w:sectPr>
          <w:headerReference r:id="rId6" w:type="default"/>
          <w:footerReference r:id="rId7" w:type="default"/>
          <w:pgSz w:h="15840" w:w="12240" w:orient="portrait"/>
          <w:pgMar w:bottom="840" w:top="500" w:left="240" w:right="260" w:header="1727.9999999999998" w:footer="662.400000000000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4" w:line="278.00000000000006" w:lineRule="auto"/>
        <w:ind w:left="0" w:firstLine="0"/>
        <w:rPr>
          <w:rFonts w:ascii="Quattrocento Sans" w:cs="Quattrocento Sans" w:eastAsia="Quattrocento Sans" w:hAnsi="Quattrocento Sans"/>
          <w:sz w:val="14"/>
          <w:szCs w:val="14"/>
          <w:shd w:fill="6aa84f" w:val="clear"/>
        </w:rPr>
        <w:sectPr>
          <w:type w:val="continuous"/>
          <w:pgSz w:h="15840" w:w="12240" w:orient="portrait"/>
          <w:pgMar w:bottom="840" w:top="500" w:left="240" w:right="260" w:header="0" w:footer="658"/>
          <w:cols w:equalWidth="0" w:num="4">
            <w:col w:space="39" w:w="2905.75"/>
            <w:col w:space="39" w:w="2905.75"/>
            <w:col w:space="39" w:w="2905.75"/>
            <w:col w:space="0" w:w="2905.7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pos="3603"/>
          <w:tab w:val="left" w:pos="11639"/>
        </w:tabs>
        <w:ind w:left="0" w:firstLine="0"/>
        <w:jc w:val="center"/>
        <w:rPr>
          <w:rFonts w:ascii="Times New Roman" w:cs="Times New Roman" w:eastAsia="Times New Roman" w:hAnsi="Times New Roman"/>
          <w:shd w:fill="fffd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fdf7" w:val="clear"/>
          <w:rtl w:val="0"/>
        </w:rPr>
        <w:t xml:space="preserve">Clinical Genetic Report</w:t>
      </w:r>
    </w:p>
    <w:p w:rsidR="00000000" w:rsidDel="00000000" w:rsidP="00000000" w:rsidRDefault="00000000" w:rsidRPr="00000000" w14:paraId="00000004">
      <w:pPr>
        <w:tabs>
          <w:tab w:val="left" w:pos="3603"/>
          <w:tab w:val="left" w:pos="1163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307" w:lineRule="auto"/>
        <w:ind w:firstLine="1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Medications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7324725" cy="34925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40800" y="3767300"/>
                          <a:ext cx="7315200" cy="25400"/>
                        </a:xfrm>
                        <a:prstGeom prst="rect">
                          <a:avLst/>
                        </a:prstGeom>
                        <a:solidFill>
                          <a:srgbClr val="2B73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7324725" cy="34925"/>
                <wp:effectExtent b="0" l="0" r="0" t="0"/>
                <wp:wrapTopAndBottom distB="0" dist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69" w:lineRule="auto"/>
        <w:ind w:left="180" w:right="112" w:firstLine="0"/>
        <w:jc w:val="left"/>
        <w:rPr>
          <w:rFonts w:ascii="Times New Roman" w:cs="Times New Roman" w:eastAsia="Times New Roman" w:hAnsi="Times New Roman"/>
          <w:b w:val="1"/>
          <w:color w:val="61626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Metoprolol, Ondansetron, Strattera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616266"/>
          <w:sz w:val="18"/>
          <w:szCs w:val="18"/>
          <w:rtl w:val="0"/>
        </w:rPr>
        <w:t xml:space="preserve">CATEGORY</w:t>
        <w:tab/>
      </w:r>
      <w:r w:rsidDel="00000000" w:rsidR="00000000" w:rsidRPr="00000000">
        <w:rPr>
          <w:b w:val="1"/>
          <w:color w:val="2b73bb"/>
          <w:sz w:val="18"/>
          <w:szCs w:val="18"/>
          <w:vertAlign w:val="baseline"/>
          <w:rtl w:val="0"/>
        </w:rPr>
        <w:t xml:space="preserve">DRUG CLASS</w:t>
        <w:tab/>
      </w:r>
      <w:r w:rsidDel="00000000" w:rsidR="00000000" w:rsidRPr="00000000">
        <w:rPr>
          <w:b w:val="1"/>
          <w:color w:val="2fa75f"/>
          <w:sz w:val="18"/>
          <w:szCs w:val="18"/>
          <w:vertAlign w:val="baseline"/>
          <w:rtl w:val="0"/>
        </w:rPr>
        <w:t xml:space="preserve">STANDARD PRECAUTIONS</w:t>
        <w:tab/>
      </w:r>
      <w:r w:rsidDel="00000000" w:rsidR="00000000" w:rsidRPr="00000000">
        <w:rPr>
          <w:b w:val="1"/>
          <w:color w:val="d2c200"/>
          <w:sz w:val="18"/>
          <w:szCs w:val="18"/>
          <w:vertAlign w:val="baseline"/>
          <w:rtl w:val="0"/>
        </w:rPr>
        <w:t xml:space="preserve">USE WITH CAUTION</w:t>
        <w:tab/>
      </w:r>
      <w:r w:rsidDel="00000000" w:rsidR="00000000" w:rsidRPr="00000000">
        <w:rPr>
          <w:b w:val="1"/>
          <w:color w:val="d2554b"/>
          <w:sz w:val="18"/>
          <w:szCs w:val="18"/>
          <w:vertAlign w:val="baseline"/>
          <w:rtl w:val="0"/>
        </w:rPr>
        <w:t xml:space="preserve">CONSIDER ALTERNATIVES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11.0" w:type="dxa"/>
        <w:jc w:val="left"/>
        <w:tblInd w:w="120.0" w:type="dxa"/>
        <w:tblLayout w:type="fixed"/>
        <w:tblLook w:val="0000"/>
      </w:tblPr>
      <w:tblGrid>
        <w:gridCol w:w="1656"/>
        <w:gridCol w:w="1915"/>
        <w:gridCol w:w="2700"/>
        <w:gridCol w:w="2590"/>
        <w:gridCol w:w="2650"/>
        <w:tblGridChange w:id="0">
          <w:tblGrid>
            <w:gridCol w:w="1656"/>
            <w:gridCol w:w="1915"/>
            <w:gridCol w:w="2700"/>
            <w:gridCol w:w="2590"/>
            <w:gridCol w:w="2650"/>
          </w:tblGrid>
        </w:tblGridChange>
      </w:tblGrid>
      <w:tr>
        <w:trPr>
          <w:cantSplit w:val="0"/>
          <w:trHeight w:val="352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349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Psychotropic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before="8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Anti-ADHD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18">
            <w:pPr>
              <w:spacing w:before="8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Atomoxetine (Strattera®)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9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1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Anticonvulsants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1E">
            <w:pPr>
              <w:ind w:left="588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9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Antidepressants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26">
            <w:pPr>
              <w:spacing w:before="90" w:lineRule="auto"/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27">
            <w:pPr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28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1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Antipsychotics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2D">
            <w:pPr>
              <w:spacing w:before="90" w:lineRule="auto"/>
              <w:ind w:left="171" w:right="15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2E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before="89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Benzodiazepines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32">
            <w:pPr>
              <w:spacing w:before="89" w:lineRule="auto"/>
              <w:ind w:left="121" w:right="10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sz w:val="16"/>
          <w:szCs w:val="16"/>
        </w:rPr>
        <w:sectPr>
          <w:type w:val="continuous"/>
          <w:pgSz w:h="15840" w:w="12240" w:orient="portrait"/>
          <w:pgMar w:bottom="840" w:top="500" w:left="240" w:right="260" w:header="0" w:footer="65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before="307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907s04a1t6nr" w:id="0"/>
      <w:bookmarkEnd w:id="0"/>
      <w:r w:rsidDel="00000000" w:rsidR="00000000" w:rsidRPr="00000000">
        <w:rPr>
          <w:color w:val="2b73bb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Potentially Impacted Medications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7324725" cy="34925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40800" y="3767300"/>
                          <a:ext cx="7315200" cy="25400"/>
                        </a:xfrm>
                        <a:prstGeom prst="rect">
                          <a:avLst/>
                        </a:prstGeom>
                        <a:solidFill>
                          <a:srgbClr val="2B73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7324725" cy="34925"/>
                <wp:effectExtent b="0" l="0" r="0" t="0"/>
                <wp:wrapTopAndBottom distB="0" dist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616266"/>
          <w:sz w:val="18"/>
          <w:szCs w:val="18"/>
          <w:rtl w:val="0"/>
        </w:rPr>
        <w:t xml:space="preserve">CATEGORY</w:t>
        <w:tab/>
      </w:r>
      <w:r w:rsidDel="00000000" w:rsidR="00000000" w:rsidRPr="00000000">
        <w:rPr>
          <w:b w:val="1"/>
          <w:color w:val="2b73bb"/>
          <w:sz w:val="18"/>
          <w:szCs w:val="18"/>
          <w:rtl w:val="0"/>
        </w:rPr>
        <w:t xml:space="preserve">DRUG CLASS</w:t>
        <w:tab/>
      </w:r>
      <w:r w:rsidDel="00000000" w:rsidR="00000000" w:rsidRPr="00000000">
        <w:rPr>
          <w:b w:val="1"/>
          <w:color w:val="2fa75f"/>
          <w:sz w:val="18"/>
          <w:szCs w:val="18"/>
          <w:rtl w:val="0"/>
        </w:rPr>
        <w:t xml:space="preserve">STANDARD PRECAUTIONS</w:t>
        <w:tab/>
      </w:r>
      <w:r w:rsidDel="00000000" w:rsidR="00000000" w:rsidRPr="00000000">
        <w:rPr>
          <w:b w:val="1"/>
          <w:color w:val="d2c200"/>
          <w:sz w:val="18"/>
          <w:szCs w:val="18"/>
          <w:rtl w:val="0"/>
        </w:rPr>
        <w:t xml:space="preserve">USE WITH CAUTION</w:t>
        <w:tab/>
      </w:r>
      <w:r w:rsidDel="00000000" w:rsidR="00000000" w:rsidRPr="00000000">
        <w:rPr>
          <w:b w:val="1"/>
          <w:color w:val="d2554b"/>
          <w:sz w:val="18"/>
          <w:szCs w:val="18"/>
          <w:rtl w:val="0"/>
        </w:rPr>
        <w:t xml:space="preserve">CONSIDER ALTERNATIVES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5"/>
          <w:szCs w:val="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11.0" w:type="dxa"/>
        <w:jc w:val="left"/>
        <w:tblInd w:w="120.0" w:type="dxa"/>
        <w:tblLayout w:type="fixed"/>
        <w:tblLook w:val="0000"/>
      </w:tblPr>
      <w:tblGrid>
        <w:gridCol w:w="1656"/>
        <w:gridCol w:w="1915"/>
        <w:gridCol w:w="2700"/>
        <w:gridCol w:w="2590"/>
        <w:gridCol w:w="2650"/>
        <w:tblGridChange w:id="0">
          <w:tblGrid>
            <w:gridCol w:w="1656"/>
            <w:gridCol w:w="1915"/>
            <w:gridCol w:w="2700"/>
            <w:gridCol w:w="2590"/>
            <w:gridCol w:w="2650"/>
          </w:tblGrid>
        </w:tblGridChange>
      </w:tblGrid>
      <w:tr>
        <w:trPr>
          <w:cantSplit w:val="0"/>
          <w:trHeight w:val="599.9917866759673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428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Anesthesia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before="67" w:lineRule="auto"/>
              <w:ind w:left="618" w:right="204" w:hanging="394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Depolarizing Muscle Relaxants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Succinylcholine (Anectine®, Quelicin®)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67" w:lineRule="auto"/>
              <w:ind w:left="974" w:right="356" w:hanging="601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2.308035554005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3" w:lineRule="auto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right="24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Inhaled Anesthetics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47">
            <w:pPr>
              <w:spacing w:before="70" w:lineRule="auto"/>
              <w:ind w:left="501" w:right="489" w:firstLine="2.000000000000028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Desflurane (Suprane®) Enflurane (Ethrane®) Halothane (Fluothane®) Isoflurane (Forane®)</w:t>
            </w:r>
          </w:p>
          <w:p w:rsidR="00000000" w:rsidDel="00000000" w:rsidP="00000000" w:rsidRDefault="00000000" w:rsidRPr="00000000" w14:paraId="00000048">
            <w:pPr>
              <w:ind w:left="121" w:right="11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Sevoflurane (Sojourn®, Ultane®)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0963168881527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before="11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147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Anticancer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before="176" w:lineRule="auto"/>
              <w:ind w:left="42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Anti-Estrogens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57">
            <w:pPr>
              <w:spacing w:before="70" w:lineRule="auto"/>
              <w:ind w:left="932" w:right="501" w:hanging="408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Tamoxifen (Nolvadex®, Soltamox®)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before="69" w:lineRule="auto"/>
              <w:ind w:left="57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Antifolates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5C">
            <w:pPr>
              <w:spacing w:before="69" w:lineRule="auto"/>
              <w:ind w:left="121" w:right="11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Methotrexate (Trexall®)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0963168881527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before="176" w:lineRule="auto"/>
              <w:ind w:right="189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Aromatase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61">
            <w:pPr>
              <w:spacing w:before="70" w:lineRule="auto"/>
              <w:ind w:left="462" w:right="446" w:firstLine="22.0000000000000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Anastrozole (Arimidex®) Exemestane (Aromasin®)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before="69" w:lineRule="auto"/>
              <w:ind w:left="26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Detoxifying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Rasburicase (Elitek®)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68">
            <w:pPr>
              <w:spacing w:before="6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1.5002231101038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before="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307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Fluoropyrimidines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6C">
            <w:pPr>
              <w:spacing w:before="69" w:lineRule="auto"/>
              <w:ind w:left="130" w:right="119" w:firstLine="3.00000000000000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Capecitabine (Xeloda®) Fluorouracil (Adrucil® (IV); Carac® (topical); Efudex® (topical))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before="69" w:lineRule="auto"/>
              <w:ind w:right="163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Platinum Compounds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71">
            <w:pPr>
              <w:spacing w:before="69" w:lineRule="auto"/>
              <w:ind w:left="121" w:right="109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Cisplatin (Platinol®)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0963168881527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before="70" w:lineRule="auto"/>
              <w:ind w:left="617" w:right="424" w:hanging="172.0000000000000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Protein Kinase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76">
            <w:pPr>
              <w:spacing w:before="176" w:lineRule="auto"/>
              <w:ind w:left="121" w:right="10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Gefitinib (Iressa®)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before="6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Taxanes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7B">
            <w:pPr>
              <w:spacing w:before="69" w:lineRule="auto"/>
              <w:ind w:left="121" w:right="109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Paclitaxel (Taxol®, Abraxane®)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.904129332054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before="3" w:lineRule="auto"/>
              <w:rPr>
                <w:b w:val="1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53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Thiopurines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81">
            <w:pPr>
              <w:spacing w:before="70" w:lineRule="auto"/>
              <w:ind w:left="121" w:right="10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Azathioprine (Azasan®, Imuran®) Mercaptopurine (Purinethol®, Purixan®)</w:t>
            </w:r>
          </w:p>
          <w:p w:rsidR="00000000" w:rsidDel="00000000" w:rsidP="00000000" w:rsidRDefault="00000000" w:rsidRPr="00000000" w14:paraId="00000082">
            <w:pPr>
              <w:ind w:left="121" w:right="11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Thioguanine (Tabloid®)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0963168881527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before="176" w:lineRule="auto"/>
              <w:ind w:left="321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Tubulin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87">
            <w:pPr>
              <w:spacing w:before="70" w:lineRule="auto"/>
              <w:ind w:left="615" w:right="218" w:hanging="37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Vincristine (Oncovin®, Marqibo Kit®, Vincasar PFS®)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0963168881527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before="4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before="1" w:lineRule="auto"/>
              <w:ind w:left="283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Cardiovascular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before="176" w:lineRule="auto"/>
              <w:ind w:left="387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Antiarrhythmics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92">
            <w:pPr>
              <w:spacing w:before="70" w:lineRule="auto"/>
              <w:ind w:left="468" w:right="452" w:firstLine="38.99999999999998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Flecainide (Tambocor®) Propafenone (Rythmol®)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before="69" w:lineRule="auto"/>
              <w:ind w:left="419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Anticoagulants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97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Warfarin (Coumadin®)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98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before="69" w:lineRule="auto"/>
              <w:ind w:left="50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Antiplatelets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9C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Clopidogrel (Plavix®)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9D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before="69" w:lineRule="auto"/>
              <w:ind w:left="47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Beta Blockers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A1">
            <w:pPr>
              <w:spacing w:before="69" w:lineRule="auto"/>
              <w:ind w:left="121" w:right="11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Metoprolol (Lopressor®)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.067466443727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spacing w:before="176" w:lineRule="auto"/>
              <w:ind w:left="64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Diuretics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0f7f1" w:val="clear"/>
          </w:tcPr>
          <w:p w:rsidR="00000000" w:rsidDel="00000000" w:rsidP="00000000" w:rsidRDefault="00000000" w:rsidRPr="00000000" w14:paraId="000000A6">
            <w:pPr>
              <w:spacing w:before="70" w:lineRule="auto"/>
              <w:ind w:left="914" w:right="267" w:hanging="63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Hydrochlorothiazide (Esidrix®, Microzide®)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ffdf7" w:val="clear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af3ee" w:val="clear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2.308035554005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before="1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Statins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A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Simvastatin (Zocor®)</w:t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Lovastatin (Mevacor®, Altoprev®,</w:t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Advicor®) </w:t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Pravastatin (Pravachol®) </w:t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Rosuvastatin (Crestor®)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B3">
            <w:pPr>
              <w:spacing w:before="67" w:lineRule="auto"/>
              <w:ind w:left="95" w:right="79" w:firstLine="413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before="67" w:lineRule="auto"/>
              <w:ind w:left="95" w:right="79" w:firstLine="41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Atorvastatin (Lipitor®)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B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before="1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482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516.0" w:type="dxa"/>
        <w:jc w:val="left"/>
        <w:tblInd w:w="120.0" w:type="dxa"/>
        <w:tblLayout w:type="fixed"/>
        <w:tblLook w:val="0000"/>
      </w:tblPr>
      <w:tblGrid>
        <w:gridCol w:w="1656"/>
        <w:gridCol w:w="1915"/>
        <w:gridCol w:w="2715"/>
        <w:gridCol w:w="2580"/>
        <w:gridCol w:w="2650"/>
        <w:tblGridChange w:id="0">
          <w:tblGrid>
            <w:gridCol w:w="1656"/>
            <w:gridCol w:w="1915"/>
            <w:gridCol w:w="2715"/>
            <w:gridCol w:w="2580"/>
            <w:gridCol w:w="2650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before="2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ind w:left="508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Diabetes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before="7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Sulfonylureas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BF">
            <w:pPr>
              <w:spacing w:before="0" w:lineRule="auto"/>
              <w:ind w:right="54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Glimepiride (Amaryl®) </w:t>
            </w:r>
          </w:p>
          <w:p w:rsidR="00000000" w:rsidDel="00000000" w:rsidP="00000000" w:rsidRDefault="00000000" w:rsidRPr="00000000" w14:paraId="000000C0">
            <w:pPr>
              <w:spacing w:before="0" w:lineRule="auto"/>
              <w:ind w:right="54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Glipizide (Glucotrol®)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before="89" w:lineRule="auto"/>
              <w:ind w:left="105" w:right="93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Thiazolidinediones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C5">
            <w:pPr>
              <w:spacing w:before="89" w:lineRule="auto"/>
              <w:ind w:left="121" w:right="109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Rosiglitazone (Avandia®)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before="5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ind w:left="239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Gastrointestinal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Antiemetics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CD">
            <w:pPr>
              <w:spacing w:before="90" w:lineRule="auto"/>
              <w:ind w:left="926" w:right="453" w:hanging="452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CE">
            <w:pPr>
              <w:spacing w:before="90" w:lineRule="auto"/>
              <w:ind w:left="926" w:right="453" w:hanging="45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Ondansetron (Zofran®, Zuplenz®)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ind w:left="105" w:right="93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Proton Pump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D3">
            <w:pPr>
              <w:spacing w:before="90" w:lineRule="auto"/>
              <w:ind w:left="458" w:right="379" w:hanging="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Lansoprazole (Prevacid®) Omeprazole (Prilosec®)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D4">
            <w:pPr>
              <w:spacing w:before="90" w:lineRule="auto"/>
              <w:ind w:left="458" w:right="379" w:hanging="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before="154" w:lineRule="auto"/>
              <w:ind w:left="463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Infections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before="8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Antibiotics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DB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Dapsone (Aczone®)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DC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DD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before="89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Antifungals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E0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Voriconazole (Vfend®)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E1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E2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Anti-HIV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E6">
            <w:pPr>
              <w:ind w:left="653" w:right="218" w:hanging="419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ind w:left="234" w:right="218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ind w:left="653" w:right="218" w:hanging="419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Efavirenz (Sustiva®)</w:t>
            </w:r>
          </w:p>
          <w:p w:rsidR="00000000" w:rsidDel="00000000" w:rsidP="00000000" w:rsidRDefault="00000000" w:rsidRPr="00000000" w14:paraId="000000E9">
            <w:pPr>
              <w:spacing w:before="90" w:lineRule="auto"/>
              <w:ind w:left="653" w:right="218" w:hanging="419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Atazanavir (Reyataz®, Evotaz®)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before="9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before="1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Interferons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Peginterferon alfa-2a (Pegasys®) Peginterferon alfa-2b (Pegintron®, Sylatron®)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F2">
            <w:pPr>
              <w:spacing w:before="90" w:lineRule="auto"/>
              <w:ind w:left="99" w:right="89" w:firstLine="0.999999999999996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F3">
            <w:pPr>
              <w:spacing w:before="90" w:lineRule="auto"/>
              <w:ind w:left="99" w:right="89" w:firstLine="0.999999999999996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before="5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ind w:left="651" w:right="637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Pain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NSAIDs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FC">
            <w:pPr>
              <w:ind w:left="548" w:right="532" w:firstLine="2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ind w:left="548" w:right="532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ind w:left="548" w:right="532" w:firstLine="2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Diclofenac (Voltaren®</w:t>
            </w:r>
          </w:p>
          <w:p w:rsidR="00000000" w:rsidDel="00000000" w:rsidP="00000000" w:rsidRDefault="00000000" w:rsidRPr="00000000" w14:paraId="000000FF">
            <w:pPr>
              <w:spacing w:before="90" w:lineRule="auto"/>
              <w:ind w:left="548" w:right="532" w:firstLine="21.000000000000014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0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0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Celecoxib (Celebrex®)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before="1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Opioids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0A">
            <w:pPr>
              <w:ind w:right="367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ind w:left="382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Alfentanil (Alfenta®)</w:t>
            </w:r>
          </w:p>
          <w:p w:rsidR="00000000" w:rsidDel="00000000" w:rsidP="00000000" w:rsidRDefault="00000000" w:rsidRPr="00000000" w14:paraId="0000010C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Buprenorphine (Butrans®,</w:t>
            </w:r>
          </w:p>
          <w:p w:rsidR="00000000" w:rsidDel="00000000" w:rsidP="00000000" w:rsidRDefault="00000000" w:rsidRPr="00000000" w14:paraId="0000010D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Buprenex®)</w:t>
            </w:r>
          </w:p>
          <w:p w:rsidR="00000000" w:rsidDel="00000000" w:rsidP="00000000" w:rsidRDefault="00000000" w:rsidRPr="00000000" w14:paraId="0000010E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Codeine (Codeine; Fioricet® with</w:t>
            </w:r>
          </w:p>
          <w:p w:rsidR="00000000" w:rsidDel="00000000" w:rsidP="00000000" w:rsidRDefault="00000000" w:rsidRPr="00000000" w14:paraId="0000010F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Codeine)</w:t>
            </w:r>
          </w:p>
          <w:p w:rsidR="00000000" w:rsidDel="00000000" w:rsidP="00000000" w:rsidRDefault="00000000" w:rsidRPr="00000000" w14:paraId="00000110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Meperidine (Demerol®)</w:t>
            </w:r>
          </w:p>
          <w:p w:rsidR="00000000" w:rsidDel="00000000" w:rsidP="00000000" w:rsidRDefault="00000000" w:rsidRPr="00000000" w14:paraId="00000111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Oxycodone (Percocet®,</w:t>
            </w:r>
          </w:p>
          <w:p w:rsidR="00000000" w:rsidDel="00000000" w:rsidP="00000000" w:rsidRDefault="00000000" w:rsidRPr="00000000" w14:paraId="00000112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Oxycontin®)</w:t>
            </w:r>
          </w:p>
          <w:p w:rsidR="00000000" w:rsidDel="00000000" w:rsidP="00000000" w:rsidRDefault="00000000" w:rsidRPr="00000000" w14:paraId="00000113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Sufentanil (Sufenta®)</w:t>
            </w:r>
          </w:p>
          <w:p w:rsidR="00000000" w:rsidDel="00000000" w:rsidP="00000000" w:rsidRDefault="00000000" w:rsidRPr="00000000" w14:paraId="00000114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Tramadol (Ultram®)</w:t>
            </w:r>
          </w:p>
          <w:p w:rsidR="00000000" w:rsidDel="00000000" w:rsidP="00000000" w:rsidRDefault="00000000" w:rsidRPr="00000000" w14:paraId="00000115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Methadone (Dolophine®)</w:t>
            </w:r>
          </w:p>
          <w:p w:rsidR="00000000" w:rsidDel="00000000" w:rsidP="00000000" w:rsidRDefault="00000000" w:rsidRPr="00000000" w14:paraId="00000116">
            <w:pPr>
              <w:ind w:left="382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before="1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ind w:left="445" w:right="361" w:hanging="61.000000000000014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Morphine (MS Contin®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Fentanyl (Actiq®)</w:t>
            </w:r>
          </w:p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before="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ind w:left="349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Psychotropic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spacing w:before="8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Anti-ADHD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2F">
            <w:pPr>
              <w:spacing w:before="8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Atomoxetine (Strattera®)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3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before="9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before="1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Anticonvulsants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36">
            <w:pPr>
              <w:ind w:left="58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Carbamazepine (Tegretol®,</w:t>
            </w:r>
          </w:p>
          <w:p w:rsidR="00000000" w:rsidDel="00000000" w:rsidP="00000000" w:rsidRDefault="00000000" w:rsidRPr="00000000" w14:paraId="0000013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Carbatrol®, Epitol®)</w:t>
            </w:r>
          </w:p>
          <w:p w:rsidR="00000000" w:rsidDel="00000000" w:rsidP="00000000" w:rsidRDefault="00000000" w:rsidRPr="00000000" w14:paraId="0000013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Lamotrigine (Lamictal®)</w:t>
            </w:r>
          </w:p>
          <w:p w:rsidR="00000000" w:rsidDel="00000000" w:rsidP="00000000" w:rsidRDefault="00000000" w:rsidRPr="00000000" w14:paraId="0000013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Oxcarbazepine (Trileptal®, Oxtellar XR®)</w:t>
            </w:r>
          </w:p>
          <w:p w:rsidR="00000000" w:rsidDel="00000000" w:rsidP="00000000" w:rsidRDefault="00000000" w:rsidRPr="00000000" w14:paraId="0000013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Phenytoin (Dilantin®</w:t>
            </w:r>
          </w:p>
          <w:p w:rsidR="00000000" w:rsidDel="00000000" w:rsidP="00000000" w:rsidRDefault="00000000" w:rsidRPr="00000000" w14:paraId="0000013C">
            <w:pPr>
              <w:ind w:left="588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Antidepressants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44">
            <w:pPr>
              <w:spacing w:before="90" w:lineRule="auto"/>
              <w:ind w:right="21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Citalopram (Celexa®) (Lexapro®) Imipramine</w:t>
            </w:r>
          </w:p>
          <w:p w:rsidR="00000000" w:rsidDel="00000000" w:rsidP="00000000" w:rsidRDefault="00000000" w:rsidRPr="00000000" w14:paraId="00000146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Desipramine (Norpramin®)</w:t>
            </w:r>
          </w:p>
          <w:p w:rsidR="00000000" w:rsidDel="00000000" w:rsidP="00000000" w:rsidRDefault="00000000" w:rsidRPr="00000000" w14:paraId="00000147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Fluoxetine (Prozac®, Sarafem®)</w:t>
            </w:r>
          </w:p>
          <w:p w:rsidR="00000000" w:rsidDel="00000000" w:rsidP="00000000" w:rsidRDefault="00000000" w:rsidRPr="00000000" w14:paraId="00000148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Fluvoxamine (Luvox®)</w:t>
            </w:r>
          </w:p>
          <w:p w:rsidR="00000000" w:rsidDel="00000000" w:rsidP="00000000" w:rsidRDefault="00000000" w:rsidRPr="00000000" w14:paraId="00000149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Mirtazapine (Remeron®)</w:t>
            </w:r>
          </w:p>
          <w:p w:rsidR="00000000" w:rsidDel="00000000" w:rsidP="00000000" w:rsidRDefault="00000000" w:rsidRPr="00000000" w14:paraId="0000014A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Nortriptyline (Pamelor®)</w:t>
            </w:r>
          </w:p>
          <w:p w:rsidR="00000000" w:rsidDel="00000000" w:rsidP="00000000" w:rsidRDefault="00000000" w:rsidRPr="00000000" w14:paraId="0000014B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Paroxetine (Paxil®, Brisdelle®)</w:t>
            </w:r>
          </w:p>
          <w:p w:rsidR="00000000" w:rsidDel="00000000" w:rsidP="00000000" w:rsidRDefault="00000000" w:rsidRPr="00000000" w14:paraId="0000014C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Venlafaxine (Effexor®)</w:t>
            </w:r>
          </w:p>
          <w:p w:rsidR="00000000" w:rsidDel="00000000" w:rsidP="00000000" w:rsidRDefault="00000000" w:rsidRPr="00000000" w14:paraId="0000014D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4E">
            <w:pPr>
              <w:spacing w:before="90" w:lineRule="auto"/>
              <w:ind w:right="366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Amitriptyline (Elavil®) Trimipramine (Surmontil®)</w:t>
            </w:r>
          </w:p>
          <w:p w:rsidR="00000000" w:rsidDel="00000000" w:rsidP="00000000" w:rsidRDefault="00000000" w:rsidRPr="00000000" w14:paraId="00000150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Sertraline (Zoloft®)</w:t>
            </w:r>
          </w:p>
          <w:p w:rsidR="00000000" w:rsidDel="00000000" w:rsidP="00000000" w:rsidRDefault="00000000" w:rsidRPr="00000000" w14:paraId="00000151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Clomipramine (Anafranil®) Doxepin (Silenor®) </w:t>
            </w:r>
          </w:p>
          <w:p w:rsidR="00000000" w:rsidDel="00000000" w:rsidP="00000000" w:rsidRDefault="00000000" w:rsidRPr="00000000" w14:paraId="00000152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Escitalopram </w:t>
            </w:r>
          </w:p>
          <w:p w:rsidR="00000000" w:rsidDel="00000000" w:rsidP="00000000" w:rsidRDefault="00000000" w:rsidRPr="00000000" w14:paraId="00000153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(Tofranil®)</w:t>
            </w:r>
          </w:p>
          <w:p w:rsidR="00000000" w:rsidDel="00000000" w:rsidP="00000000" w:rsidRDefault="00000000" w:rsidRPr="00000000" w14:paraId="00000154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55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before="1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Antipsychotics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5C">
            <w:pPr>
              <w:spacing w:before="90" w:lineRule="auto"/>
              <w:ind w:left="171" w:right="15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Clozapine (Clozaril®) Risperidone (Risperdal®)</w:t>
            </w:r>
          </w:p>
          <w:p w:rsidR="00000000" w:rsidDel="00000000" w:rsidP="00000000" w:rsidRDefault="00000000" w:rsidRPr="00000000" w14:paraId="0000015E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Olanzapine (Zyprexa®) </w:t>
            </w:r>
          </w:p>
          <w:p w:rsidR="00000000" w:rsidDel="00000000" w:rsidP="00000000" w:rsidRDefault="00000000" w:rsidRPr="00000000" w14:paraId="0000015F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Aripiprazole (Abilify®, Aristada®)</w:t>
            </w:r>
          </w:p>
          <w:p w:rsidR="00000000" w:rsidDel="00000000" w:rsidP="00000000" w:rsidRDefault="00000000" w:rsidRPr="00000000" w14:paraId="00000160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Haloperidol (Haldol®)</w:t>
            </w:r>
          </w:p>
          <w:p w:rsidR="00000000" w:rsidDel="00000000" w:rsidP="00000000" w:rsidRDefault="00000000" w:rsidRPr="00000000" w14:paraId="00000161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Paliperidone (Invega®)</w:t>
            </w:r>
          </w:p>
          <w:p w:rsidR="00000000" w:rsidDel="00000000" w:rsidP="00000000" w:rsidRDefault="00000000" w:rsidRPr="00000000" w14:paraId="00000162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63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64">
            <w:pPr>
              <w:spacing w:before="1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Quetiapine (Seroquel®)</w:t>
            </w:r>
          </w:p>
          <w:p w:rsidR="00000000" w:rsidDel="00000000" w:rsidP="00000000" w:rsidRDefault="00000000" w:rsidRPr="00000000" w14:paraId="00000166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Ziprasidone (Geodon®)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6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before="89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Benzodiazepines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6D">
            <w:pPr>
              <w:spacing w:before="89" w:lineRule="auto"/>
              <w:ind w:left="121" w:right="10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Clobazam (Onfi®)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spacing w:before="307" w:lineRule="auto"/>
        <w:ind w:left="0" w:firstLine="0"/>
        <w:rPr>
          <w:rFonts w:ascii="Quattrocento Sans" w:cs="Quattrocento Sans" w:eastAsia="Quattrocento Sans" w:hAnsi="Quattrocento Sans"/>
          <w:sz w:val="16"/>
          <w:szCs w:val="16"/>
        </w:rPr>
      </w:pPr>
      <w:bookmarkStart w:colFirst="0" w:colLast="0" w:name="_n4lpj4h2xnga" w:id="1"/>
      <w:bookmarkEnd w:id="1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5840" w:w="12240" w:orient="portrait"/>
      <w:pgMar w:bottom="940" w:top="1740" w:left="240" w:right="260" w:header="504" w:footer="75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9639300</wp:posOffset>
              </wp:positionV>
              <wp:extent cx="525144" cy="15367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40591" y="3707928"/>
                        <a:ext cx="515619" cy="144145"/>
                      </a:xfrm>
                      <a:custGeom>
                        <a:rect b="b" l="l" r="r" t="t"/>
                        <a:pathLst>
                          <a:path extrusionOk="0" h="144145" w="515619">
                            <a:moveTo>
                              <a:pt x="0" y="0"/>
                            </a:moveTo>
                            <a:lnTo>
                              <a:pt x="0" y="144145"/>
                            </a:lnTo>
                            <a:lnTo>
                              <a:pt x="515619" y="144145"/>
                            </a:lnTo>
                            <a:lnTo>
                              <a:pt x="51561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Page  PAGE 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 of 27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9639300</wp:posOffset>
              </wp:positionV>
              <wp:extent cx="525144" cy="15367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144" cy="153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9499600</wp:posOffset>
              </wp:positionV>
              <wp:extent cx="3674745" cy="28384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665790" y="3642840"/>
                        <a:ext cx="3665220" cy="274320"/>
                      </a:xfrm>
                      <a:custGeom>
                        <a:rect b="b" l="l" r="r" t="t"/>
                        <a:pathLst>
                          <a:path extrusionOk="0" h="274320" w="3665220">
                            <a:moveTo>
                              <a:pt x="0" y="0"/>
                            </a:moveTo>
                            <a:lnTo>
                              <a:pt x="0" y="274320"/>
                            </a:lnTo>
                            <a:lnTo>
                              <a:pt x="3665220" y="274320"/>
                            </a:lnTo>
                            <a:lnTo>
                              <a:pt x="36652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30" w:right="25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Clinical Decision Support Report for Vm Patient 10 ghe ghe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30" w:right="30" w:firstLine="3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The Smith Family Clinic for Genomic Medicine, LLC, 701 McMillian Way, Suite A, Huntsville, AL 35806, 888.528.3694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9499600</wp:posOffset>
              </wp:positionV>
              <wp:extent cx="3674745" cy="283845"/>
              <wp:effectExtent b="0" l="0" r="0" t="0"/>
              <wp:wrapNone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74745" cy="283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9448800</wp:posOffset>
              </wp:positionV>
              <wp:extent cx="731520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1840800" y="3778413"/>
                        <a:ext cx="7315200" cy="3175"/>
                      </a:xfrm>
                      <a:prstGeom prst="rect">
                        <a:avLst/>
                      </a:prstGeom>
                      <a:solidFill>
                        <a:srgbClr val="C8C9C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9448800</wp:posOffset>
              </wp:positionV>
              <wp:extent cx="7315200" cy="12700"/>
              <wp:effectExtent b="0" l="0" r="0" t="0"/>
              <wp:wrapNone/>
              <wp:docPr id="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152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9639300</wp:posOffset>
              </wp:positionV>
              <wp:extent cx="525144" cy="15367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40591" y="3707928"/>
                        <a:ext cx="515619" cy="144145"/>
                      </a:xfrm>
                      <a:custGeom>
                        <a:rect b="b" l="l" r="r" t="t"/>
                        <a:pathLst>
                          <a:path extrusionOk="0" h="144145" w="515619">
                            <a:moveTo>
                              <a:pt x="0" y="0"/>
                            </a:moveTo>
                            <a:lnTo>
                              <a:pt x="0" y="144145"/>
                            </a:lnTo>
                            <a:lnTo>
                              <a:pt x="515619" y="144145"/>
                            </a:lnTo>
                            <a:lnTo>
                              <a:pt x="51561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Page  PAGE 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 of 27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9639300</wp:posOffset>
              </wp:positionV>
              <wp:extent cx="525144" cy="15367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144" cy="153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9499600</wp:posOffset>
              </wp:positionV>
              <wp:extent cx="3674745" cy="28384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3665790" y="3642840"/>
                        <a:ext cx="3665220" cy="274320"/>
                      </a:xfrm>
                      <a:custGeom>
                        <a:rect b="b" l="l" r="r" t="t"/>
                        <a:pathLst>
                          <a:path extrusionOk="0" h="274320" w="3665220">
                            <a:moveTo>
                              <a:pt x="0" y="0"/>
                            </a:moveTo>
                            <a:lnTo>
                              <a:pt x="0" y="274320"/>
                            </a:lnTo>
                            <a:lnTo>
                              <a:pt x="3665220" y="274320"/>
                            </a:lnTo>
                            <a:lnTo>
                              <a:pt x="36652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30" w:right="25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Clinical Decision Support Report for Vm Patient 10 ghe ghe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30" w:right="30" w:firstLine="3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The Smith Family Clinic for Genomic Medicine, LLC, 701 McMillian Way, Suite A, Huntsville, AL 35806, 888.528.3694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9499600</wp:posOffset>
              </wp:positionV>
              <wp:extent cx="3674745" cy="283845"/>
              <wp:effectExtent b="0" l="0" r="0" t="0"/>
              <wp:wrapNone/>
              <wp:docPr id="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74745" cy="283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pStyle w:val="Heading1"/>
      <w:spacing w:before="307" w:lineRule="auto"/>
      <w:ind w:left="0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oj6gyqn1i835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-826286</wp:posOffset>
          </wp:positionV>
          <wp:extent cx="2449512" cy="830414"/>
          <wp:effectExtent b="0" l="0" r="0" t="0"/>
          <wp:wrapSquare wrapText="bothSides" distB="114300" distT="114300" distL="114300" distR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49512" cy="8304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4743450</wp:posOffset>
              </wp:positionH>
              <wp:positionV relativeFrom="paragraph">
                <wp:posOffset>-876299</wp:posOffset>
              </wp:positionV>
              <wp:extent cx="1735336" cy="70419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2561775" y="1246800"/>
                        <a:ext cx="2610600" cy="104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Specimen Details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Received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Date: 04/01/2022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Report Date:     05/01/2022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Test Type:         AOA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4743450</wp:posOffset>
              </wp:positionH>
              <wp:positionV relativeFrom="paragraph">
                <wp:posOffset>-876299</wp:posOffset>
              </wp:positionV>
              <wp:extent cx="1735336" cy="704194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35336" cy="70419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3013075</wp:posOffset>
              </wp:positionH>
              <wp:positionV relativeFrom="paragraph">
                <wp:posOffset>-881062</wp:posOffset>
              </wp:positionV>
              <wp:extent cx="1428750" cy="78727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2561775" y="1246800"/>
                        <a:ext cx="2315100" cy="126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Patient Information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Name:   Janae Spencer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DOB:     07/04/1990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Sex:       Female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ACC #:  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A001237-5-05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3013075</wp:posOffset>
              </wp:positionH>
              <wp:positionV relativeFrom="paragraph">
                <wp:posOffset>-881062</wp:posOffset>
              </wp:positionV>
              <wp:extent cx="1428750" cy="78727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8750" cy="7872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0" w:lineRule="auto"/>
      <w:ind w:left="164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spacing w:before="12" w:lineRule="auto"/>
      <w:ind w:left="719"/>
    </w:pPr>
    <w:rPr>
      <w:i w:val="1"/>
      <w:sz w:val="20"/>
      <w:szCs w:val="20"/>
    </w:rPr>
  </w:style>
  <w:style w:type="paragraph" w:styleId="Heading3">
    <w:name w:val="heading 3"/>
    <w:basedOn w:val="Normal"/>
    <w:next w:val="Normal"/>
    <w:pPr>
      <w:spacing w:before="31" w:lineRule="auto"/>
      <w:ind w:left="719"/>
    </w:pPr>
    <w:rPr>
      <w:rFonts w:ascii="Quattrocento Sans" w:cs="Quattrocento Sans" w:eastAsia="Quattrocento Sans" w:hAnsi="Quattrocento Sans"/>
      <w:sz w:val="18"/>
      <w:szCs w:val="18"/>
    </w:rPr>
  </w:style>
  <w:style w:type="paragraph" w:styleId="Heading4">
    <w:name w:val="heading 4"/>
    <w:basedOn w:val="Normal"/>
    <w:next w:val="Normal"/>
    <w:pPr>
      <w:ind w:left="719"/>
    </w:pPr>
    <w:rPr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6" w:lineRule="auto"/>
      <w:ind w:left="120"/>
    </w:pPr>
    <w:rPr>
      <w:rFonts w:ascii="Tahoma" w:cs="Tahoma" w:eastAsia="Tahoma" w:hAnsi="Tahoma"/>
      <w:b w:val="1"/>
      <w:sz w:val="38"/>
      <w:szCs w:val="3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7.png"/><Relationship Id="rId3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