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Highlights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CDC WONDER county suppression strongly shapes epilepsy/status epilepticus mortality inference.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The county-period extract reconciled to 58,380 deaths, with 6,992 deaths hidden in 1,722 suppressed counties.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Total-preserving residual allocations gave nonmetro nonadjacent IRRs from 0.97 to 1.13.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Fixed-value stress tests that exceed or redistribute the known residual are labeled separately from primary bounds.</w:t>
      </w:r>
    </w:p>
    <w:p>
      <w:pPr>
        <w:pStyle w:val="ListBullet"/>
        <w:spacing w:line="480" w:lineRule="auto"/>
      </w:pPr>
      <w:r>
        <w:rPr>
          <w:rFonts w:ascii="Times New Roman" w:hAnsi="Times New Roman"/>
          <w:sz w:val="24"/>
        </w:rPr>
        <w:t>The revised package includes populated main tables and corrected 2019-2024 temporal/COVID context.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highlights_revised.docx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