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  <w:b w:val="0"/>
          <w:sz w:val="24"/>
        </w:rPr>
        <w:t>Response To Editorial Review</w:t>
      </w:r>
    </w:p>
    <w:p>
      <w:r>
        <w:rPr>
          <w:rFonts w:ascii="Times New Roman" w:hAnsi="Times New Roman"/>
          <w:b w:val="0"/>
          <w:sz w:val="24"/>
        </w:rPr>
        <w:t>Manuscript: Suppression-Aware County-Level Epilepsy and Status Epilepticus Mortality in the United States, 2019–2024</w:t>
      </w:r>
    </w:p>
    <w:p>
      <w:r>
        <w:rPr>
          <w:rFonts w:ascii="Times New Roman" w:hAnsi="Times New Roman"/>
          <w:b w:val="0"/>
          <w:sz w:val="24"/>
        </w:rPr>
        <w:t>Author: Gregory Pierpoint, B.S.</w:t>
      </w:r>
    </w:p>
    <w:p>
      <w:pPr>
        <w:pStyle w:val="Heading1"/>
      </w:pPr>
      <w:r>
        <w:rPr>
          <w:rFonts w:ascii="Times New Roman" w:hAnsi="Times New Roman"/>
          <w:b w:val="0"/>
          <w:sz w:val="24"/>
        </w:rPr>
        <w:t>Overview</w:t>
      </w:r>
    </w:p>
    <w:p>
      <w:r>
        <w:rPr>
          <w:rFonts w:ascii="Times New Roman" w:hAnsi="Times New Roman"/>
          <w:b w:val="0"/>
          <w:sz w:val="24"/>
        </w:rPr>
        <w:t>The revised submission package addresses all major issues, minor issues, and author questions raised in the pre-submission editorial review. The revisions preserve the paper's suppression-sensitive framing while correcting the presentation problems that could have made the manuscript look incomplete or overstated.</w:t>
      </w:r>
    </w:p>
    <w:p>
      <w:pPr>
        <w:pStyle w:val="Heading1"/>
      </w:pPr>
      <w:r>
        <w:rPr>
          <w:rFonts w:ascii="Times New Roman" w:hAnsi="Times New Roman"/>
          <w:b w:val="0"/>
          <w:sz w:val="24"/>
        </w:rPr>
        <w:t>Response Matrix</w:t>
      </w:r>
    </w:p>
    <w:p>
      <w:pPr>
        <w:keepNext/>
      </w:pPr>
      <w:r>
        <w:rPr>
          <w:rFonts w:ascii="Times New Roman" w:hAnsi="Times New Roman"/>
          <w:b/>
          <w:sz w:val="22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  <w:gridCol w:w="4320"/>
      </w:tblGrid>
      <w:tr>
        <w:tc>
          <w:tcPr>
            <w:tcW w:type="dxa" w:w="4320"/>
            <w:shd w:fill="E8EEF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Issue</w:t>
            </w:r>
          </w:p>
        </w:tc>
        <w:tc>
          <w:tcPr>
            <w:tcW w:type="dxa" w:w="4320"/>
            <w:shd w:fill="E8EEF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Status</w:t>
            </w:r>
          </w:p>
        </w:tc>
        <w:tc>
          <w:tcPr>
            <w:tcW w:type="dxa" w:w="4320"/>
            <w:shd w:fill="E8EEF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Revision made</w:t>
            </w:r>
          </w:p>
        </w:tc>
      </w:tr>
      <w:tr>
        <w:tc>
          <w:tcPr>
            <w:tcW w:type="dxa" w:w="43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M1</w:t>
            </w:r>
          </w:p>
        </w:tc>
        <w:tc>
          <w:tcPr>
            <w:tcW w:type="dxa" w:w="43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addressed</w:t>
            </w:r>
          </w:p>
        </w:tc>
        <w:tc>
          <w:tcPr>
            <w:tcW w:type="dxa" w:w="43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Reframed suppression scenarios into visible-only, residual-allocation total-preserving, constant-count stress-test, fixed-value stress-test, and interval-model tiers; added residual mean and constant mean scenario; revised abstract/results/discussion.</w:t>
            </w:r>
          </w:p>
        </w:tc>
      </w:tr>
      <w:tr>
        <w:tc>
          <w:tcPr>
            <w:tcW w:type="dxa" w:w="43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M2</w:t>
            </w:r>
          </w:p>
        </w:tc>
        <w:tc>
          <w:tcPr>
            <w:tcW w:type="dxa" w:w="43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addressed</w:t>
            </w:r>
          </w:p>
        </w:tc>
        <w:tc>
          <w:tcPr>
            <w:tcW w:type="dxa" w:w="43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Embedded populated Tables 1-5 in the main manuscript DOCX and supplied CSV/XLSX copies.</w:t>
            </w:r>
          </w:p>
        </w:tc>
      </w:tr>
      <w:tr>
        <w:tc>
          <w:tcPr>
            <w:tcW w:type="dxa" w:w="43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M3</w:t>
            </w:r>
          </w:p>
        </w:tc>
        <w:tc>
          <w:tcPr>
            <w:tcW w:type="dxa" w:w="43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addressed</w:t>
            </w:r>
          </w:p>
        </w:tc>
        <w:tc>
          <w:tcPr>
            <w:tcW w:type="dxa" w:w="43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Replaced Figure 4 with a 2019-2024 temporal/COVID context figure and corrected legend.</w:t>
            </w:r>
          </w:p>
        </w:tc>
      </w:tr>
      <w:tr>
        <w:tc>
          <w:tcPr>
            <w:tcW w:type="dxa" w:w="43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M4</w:t>
            </w:r>
          </w:p>
        </w:tc>
        <w:tc>
          <w:tcPr>
            <w:tcW w:type="dxa" w:w="43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addressed</w:t>
            </w:r>
          </w:p>
        </w:tc>
        <w:tc>
          <w:tcPr>
            <w:tcW w:type="dxa" w:w="43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Added Introduction and Discussion comparison to Quick 2019, distinguishing Bayesian smoothing from reconciliation/bounding/interval methods.</w:t>
            </w:r>
          </w:p>
        </w:tc>
      </w:tr>
      <w:tr>
        <w:tc>
          <w:tcPr>
            <w:tcW w:type="dxa" w:w="43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m1/m2</w:t>
            </w:r>
          </w:p>
        </w:tc>
        <w:tc>
          <w:tcPr>
            <w:tcW w:type="dxa" w:w="43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addressed</w:t>
            </w:r>
          </w:p>
        </w:tc>
        <w:tc>
          <w:tcPr>
            <w:tcW w:type="dxa" w:w="43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Removed the orphan county-year exact-death abstract statistic and separated death counts from row counts.</w:t>
            </w:r>
          </w:p>
        </w:tc>
      </w:tr>
      <w:tr>
        <w:tc>
          <w:tcPr>
            <w:tcW w:type="dxa" w:w="43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m3</w:t>
            </w:r>
          </w:p>
        </w:tc>
        <w:tc>
          <w:tcPr>
            <w:tcW w:type="dxa" w:w="43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addressed</w:t>
            </w:r>
          </w:p>
        </w:tc>
        <w:tc>
          <w:tcPr>
            <w:tcW w:type="dxa" w:w="43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Rebuilt Figure 2 with publication labels and legend stating 95% CIs on a log scale.</w:t>
            </w:r>
          </w:p>
        </w:tc>
      </w:tr>
      <w:tr>
        <w:tc>
          <w:tcPr>
            <w:tcW w:type="dxa" w:w="43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m4/m5/m10</w:t>
            </w:r>
          </w:p>
        </w:tc>
        <w:tc>
          <w:tcPr>
            <w:tcW w:type="dxa" w:w="43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addressed</w:t>
            </w:r>
          </w:p>
        </w:tc>
        <w:tc>
          <w:tcPr>
            <w:tcW w:type="dxa" w:w="43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Added methods limitations for alpha=1 working variance, interval model non-conditioning on the known marginal total, and unadjusted p-values/multiplicity.</w:t>
            </w:r>
          </w:p>
        </w:tc>
      </w:tr>
      <w:tr>
        <w:tc>
          <w:tcPr>
            <w:tcW w:type="dxa" w:w="43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m6/m9</w:t>
            </w:r>
          </w:p>
        </w:tc>
        <w:tc>
          <w:tcPr>
            <w:tcW w:type="dxa" w:w="43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addressed</w:t>
            </w:r>
          </w:p>
        </w:tc>
        <w:tc>
          <w:tcPr>
            <w:tcW w:type="dxa" w:w="43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Clarified map viewport/model inclusion and color-scale handling; regenerated Figure 1 with higher zero/missing contrast and hatching.</w:t>
            </w:r>
          </w:p>
        </w:tc>
      </w:tr>
      <w:tr>
        <w:tc>
          <w:tcPr>
            <w:tcW w:type="dxa" w:w="43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m7</w:t>
            </w:r>
          </w:p>
        </w:tc>
        <w:tc>
          <w:tcPr>
            <w:tcW w:type="dxa" w:w="43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addressed</w:t>
            </w:r>
          </w:p>
        </w:tc>
        <w:tc>
          <w:tcPr>
            <w:tcW w:type="dxa" w:w="43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Audited residual allocation totals after [1,9] clipping; all residual allocation scenarios preserve 58,380 deaths.</w:t>
            </w:r>
          </w:p>
        </w:tc>
      </w:tr>
      <w:tr>
        <w:tc>
          <w:tcPr>
            <w:tcW w:type="dxa" w:w="43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m8</w:t>
            </w:r>
          </w:p>
        </w:tc>
        <w:tc>
          <w:tcPr>
            <w:tcW w:type="dxa" w:w="43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addressed</w:t>
            </w:r>
          </w:p>
        </w:tc>
        <w:tc>
          <w:tcPr>
            <w:tcW w:type="dxa" w:w="43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Replaced vague VIF statement with maximum 2.92 for median household income/poverty component diagnostics.</w:t>
            </w:r>
          </w:p>
        </w:tc>
      </w:tr>
      <w:tr>
        <w:tc>
          <w:tcPr>
            <w:tcW w:type="dxa" w:w="43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m11</w:t>
            </w:r>
          </w:p>
        </w:tc>
        <w:tc>
          <w:tcPr>
            <w:tcW w:type="dxa" w:w="43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addressed</w:t>
            </w:r>
          </w:p>
        </w:tc>
        <w:tc>
          <w:tcPr>
            <w:tcW w:type="dxa" w:w="43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Harmonized the corresponding author block to the full affiliation name.</w:t>
            </w:r>
          </w:p>
        </w:tc>
      </w:tr>
      <w:tr>
        <w:tc>
          <w:tcPr>
            <w:tcW w:type="dxa" w:w="43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m12</w:t>
            </w:r>
          </w:p>
        </w:tc>
        <w:tc>
          <w:tcPr>
            <w:tcW w:type="dxa" w:w="43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addressed</w:t>
            </w:r>
          </w:p>
        </w:tc>
        <w:tc>
          <w:tcPr>
            <w:tcW w:type="dxa" w:w="43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Confirmed repository README and CITATION metadata identify Gregory Pierpoint; data/code statement names repository and DOI.</w:t>
            </w:r>
          </w:p>
        </w:tc>
      </w:tr>
      <w:tr>
        <w:tc>
          <w:tcPr>
            <w:tcW w:type="dxa" w:w="43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Author question 8</w:t>
            </w:r>
          </w:p>
        </w:tc>
        <w:tc>
          <w:tcPr>
            <w:tcW w:type="dxa" w:w="43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addressed</w:t>
            </w:r>
          </w:p>
        </w:tc>
        <w:tc>
          <w:tcPr>
            <w:tcW w:type="dxa" w:w="43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Added Connecticut geography limitation statement noting no crosswalk correction and possible period comparability limitation.</w:t>
            </w:r>
          </w:p>
        </w:tc>
      </w:tr>
    </w:tbl>
    <w:p>
      <w:pPr>
        <w:spacing w:line="240" w:lineRule="auto" w:after="160"/>
      </w:pPr>
      <w:r>
        <w:rPr>
          <w:rFonts w:ascii="Times New Roman" w:hAnsi="Times New Roman"/>
          <w:sz w:val="18"/>
        </w:rPr>
        <w:t xml:space="preserve">Note. </w:t>
      </w:r>
    </w:p>
    <w:p>
      <w:pPr>
        <w:pStyle w:val="Heading1"/>
      </w:pPr>
      <w:r>
        <w:rPr>
          <w:rFonts w:ascii="Times New Roman" w:hAnsi="Times New Roman"/>
          <w:b w:val="0"/>
          <w:sz w:val="24"/>
        </w:rPr>
        <w:t>Key Interpretive Change</w:t>
      </w:r>
    </w:p>
    <w:p>
      <w:r>
        <w:rPr>
          <w:rFonts w:ascii="Times New Roman" w:hAnsi="Times New Roman"/>
          <w:b w:val="0"/>
          <w:sz w:val="24"/>
        </w:rPr>
        <w:t>The revised manuscript no longer gives equal interpretive weight to fixed-value scenarios that do not respect the reconciled total. It distinguishes visible-only models, total-preserving residual allocations, a constant-count total-preserving stress test, non-total-preserving fixed-value stress tests, and interval-likelihood models. The main interpretive range is the residual-allocation/interval-model result; fixed-value results are retained to show sensitivity, not to claim a plausible recovered truth.</w:t>
      </w:r>
    </w:p>
    <w:p>
      <w:pPr>
        <w:pStyle w:val="Heading1"/>
      </w:pPr>
      <w:r>
        <w:rPr>
          <w:rFonts w:ascii="Times New Roman" w:hAnsi="Times New Roman"/>
          <w:b w:val="0"/>
          <w:sz w:val="24"/>
        </w:rPr>
        <w:t>Package Completeness</w:t>
      </w:r>
    </w:p>
    <w:p>
      <w:r>
        <w:rPr>
          <w:rFonts w:ascii="Times New Roman" w:hAnsi="Times New Roman"/>
          <w:b w:val="0"/>
          <w:sz w:val="24"/>
        </w:rPr>
        <w:t>The main manuscript DOCX now contains populated Tables 1-5. Figure 4 has been replaced with a 2019-2024 temporal/COVID context figure. Figure 2 uses publication labels and explicitly reports 95% CIs on a log scale. Figure 1 has increased contrast and hatching for explicit-zero rows.</w:t>
      </w:r>
    </w:p>
    <w:sectPr w:rsidR="00FC693F" w:rsidRPr="0006063C" w:rsidSect="00034616">
      <w:footerReference w:type="default" r:id="rId9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sz w:val="18"/>
      </w:rPr>
      <w:t>response_to_editorial_review.docx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480" w:lineRule="auto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 w:line="480" w:lineRule="auto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480" w:lineRule="auto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 w:line="480" w:lineRule="auto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