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Material</w:t>
      </w:r>
    </w:p>
    <w:p>
      <w:r>
        <w:rPr>
          <w:rFonts w:ascii="Times New Roman" w:hAnsi="Times New Roman"/>
          <w:b w:val="0"/>
          <w:sz w:val="24"/>
        </w:rPr>
        <w:t>Manuscript: Suppression-Aware County-Level Epilepsy and Status Epilepticus Mortality in the United States, 2019–2024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Methods</w:t>
      </w:r>
    </w:p>
    <w:p>
      <w:r>
        <w:rPr>
          <w:rFonts w:ascii="Times New Roman" w:hAnsi="Times New Roman"/>
          <w:b w:val="0"/>
          <w:sz w:val="24"/>
        </w:rPr>
        <w:t>This supplement accompanies the revised editorial-review package. The analysis uses the same frozen, validated CDC WONDER and county covariate inputs as the prior package; CDC WONDER was not re-queried. The revision adds a constant-mean suppression stress test and reorganizes the scenario interpretation around reconciliation to the known county-period total.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Table Inventory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Table S1: county characteristics and suppression status, corresponding to main Table 1.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Table S2: suppression-aware model results, including the revised constant-mean scenario.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Table S3: interval-likelihood model results.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Table S4: component-model VIF diagnostics.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Table S5: temporal and COVID co-mention context.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Table S6: underlying-cause sensitivity.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Revised Scenario Audit</w:t>
      </w:r>
    </w:p>
    <w:p>
      <w:r>
        <w:rPr>
          <w:rFonts w:ascii="Times New Roman" w:hAnsi="Times New Roman"/>
          <w:b w:val="0"/>
          <w:sz w:val="24"/>
        </w:rPr>
        <w:t>The county-period extract reconciled to 58,380 multiple-cause G40/G41 deaths. Exact counties contributed 51,388 deaths, leaving 6,992 deaths in 1,722 suppressed rows, or ≈4.1 deaths per suppressed row. Population-scaled, conservative anti-rural, and pro-rural residual allocations each preserve the reconciled total after 1-9 clipping. Suppressed=5 and suppressed=9 exceed the reconciled total and are retained only as extreme stress tests. The constant-mean 4.06 scenario preserves the total but is treated as a distributional stress test because it assigns the same hidden count to every suppressed county.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Figure Inventory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Figure S1: national-year mortality trend.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Figure S2: original COVID co-mention by urbanization-year figure retained as supplemental context.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Figure S3: residual-allocation county rate map.</w:t>
      </w:r>
    </w:p>
    <w:p>
      <w:r>
        <w:rPr>
          <w:rFonts w:ascii="Times New Roman" w:hAnsi="Times New Roman"/>
          <w:b w:val="0"/>
          <w:sz w:val="24"/>
        </w:rPr>
        <w:t>All revised main figures and source tables are included in the package folders.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supplement_revised.docx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