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Abstract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Objective</w:t>
      </w:r>
    </w:p>
    <w:p>
      <w:r>
        <w:rPr>
          <w:rFonts w:ascii="Times New Roman" w:hAnsi="Times New Roman"/>
          <w:b w:val="0"/>
          <w:sz w:val="24"/>
        </w:rPr>
        <w:t>To quantify how CDC WONDER county-level small-cell suppression shapes national county-level analyses of epilepsy/status epilepticus-related mortality and to evaluate rurality-associated patterns using suppression-aware methods.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Methods</w:t>
      </w:r>
    </w:p>
    <w:p>
      <w:r>
        <w:rPr>
          <w:rFonts w:ascii="Times New Roman" w:hAnsi="Times New Roman"/>
          <w:b w:val="0"/>
          <w:sz w:val="24"/>
        </w:rPr>
        <w:t>We analyzed CDC WONDER Multiple Cause of Death data for 2019-2024. The primary outcome was multiple-cause mortality with ICD-10 G40 (epilepsy) or G41 (status epilepticus) listed anywhere on the death certificate. County-period and county-year extracts were linked to county rurality and social vulnerability covariates. Suppressed county cells were preserved as 1-9 death intervals and were not treated as zero. We compared observed-only models with fixed-value stress tests, total-preserving residual allocations, and interval-likelihood negative binomial models.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Results</w:t>
      </w:r>
    </w:p>
    <w:p>
      <w:r>
        <w:rPr>
          <w:rFonts w:ascii="Times New Roman" w:hAnsi="Times New Roman"/>
          <w:b w:val="0"/>
          <w:sz w:val="24"/>
        </w:rPr>
        <w:t>National multiple-cause G40/G41 mortality totaled 58,380 deaths. The county-period extract comprised 1,085 counties with exact counts (51,388 deaths), 1,722 suppressed county rows (1-9 deaths each), and 335 explicit-zero rows. The reconciled residual within suppressed counties was 6,992 deaths, or ≈4.1 deaths per suppressed county. In the rurality plus SVI model, nonmetro nonadjacent IRRs were 0.97 for observed exact-positive counties and 0.91 after adding explicit zero counties. The population-scaled residual allocation, treated as the primary total-preserving scenario, estimated an IRR of 1.04, and the interval-likelihood model estimated 1.07 with wide approximate uncertainty. Other total-preserving residual allocations ranged from 0.97 to 1.13. A total-preserving but exposure-ignoring uniform allocation estimated 1.24, showing that the within-suppressed distribution matters; high fixed-value stress tests were interpreted as non-primary stress tests. COVID-19 co-mention totaled 1,936 deaths, and underlying-cause G40/G41 mortality totaled 22,306 deaths.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Conclusion</w:t>
      </w:r>
    </w:p>
    <w:p>
      <w:r>
        <w:rPr>
          <w:rFonts w:ascii="Times New Roman" w:hAnsi="Times New Roman"/>
          <w:b w:val="0"/>
          <w:sz w:val="24"/>
        </w:rPr>
        <w:t>County-level epilepsy/status epilepticus mortality inference in CDC WONDER is strongly shaped by outcome-dependent suppression. Preserving suppressed cells as intervals, reconciling county extracts to aggregate totals, and separating total-preserving allocations from fixed-value stress tests provide a more transparent framework for county-level mortality surveillance.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abstract_revised.docx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