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b w:val="0"/>
          <w:sz w:val="24"/>
        </w:rPr>
        <w:t>Supplementary Material</w:t>
      </w:r>
    </w:p>
    <w:p>
      <w:r>
        <w:rPr>
          <w:rFonts w:ascii="Times New Roman" w:hAnsi="Times New Roman"/>
          <w:b w:val="0"/>
          <w:sz w:val="24"/>
        </w:rPr>
        <w:t>Manuscript: Suppression-Aware County-Level Epilepsy and Status Epilepticus Mortality in the United States, 2019–2024</w:t>
      </w:r>
    </w:p>
    <w:p>
      <w:r>
        <w:rPr>
          <w:rFonts w:ascii="Times New Roman" w:hAnsi="Times New Roman"/>
          <w:b w:val="0"/>
          <w:sz w:val="24"/>
        </w:rPr>
        <w:t>This supplement restores the populated supplementary tables and figures requested in Round 2. The analysis uses the same frozen validated CDC WONDER and county covariate inputs; CDC WONDER was not re-queried.</w:t>
      </w:r>
    </w:p>
    <w:p>
      <w:pPr>
        <w:pStyle w:val="Heading1"/>
      </w:pPr>
      <w:r>
        <w:rPr>
          <w:rFonts w:ascii="Times New Roman" w:hAnsi="Times New Roman"/>
          <w:b w:val="0"/>
          <w:sz w:val="24"/>
        </w:rPr>
        <w:t>Revised Scenario Audit</w:t>
      </w:r>
    </w:p>
    <w:p>
      <w:r>
        <w:rPr>
          <w:rFonts w:ascii="Times New Roman" w:hAnsi="Times New Roman"/>
          <w:b w:val="0"/>
          <w:sz w:val="24"/>
        </w:rPr>
        <w:t>The county-period extract reconciled to 58,380 multiple-cause G40/G41 deaths. Exact counties contributed 51,388 deaths, leaving 6,992 deaths in 1,722 suppressed rows, or ≈4.1 deaths per suppressed row. Population-scaled, conservative anti-rural, and pro-rural residual allocations each preserve the reconciled total after 1-9 clipping. Suppressed=5 and suppressed=9 exceed the reconciled total and are retained only as extreme stress tests. The constant-mean 4.06 scenario preserves the total but is treated as a distributional stress test because it assigns the same hidden count to every suppressed county.</w:t>
      </w:r>
    </w:p>
    <w:p>
      <w:pPr>
        <w:pStyle w:val="Heading1"/>
      </w:pPr>
      <w:r>
        <w:rPr>
          <w:rFonts w:ascii="Times New Roman" w:hAnsi="Times New Roman"/>
          <w:b w:val="0"/>
          <w:sz w:val="24"/>
        </w:rPr>
        <w:t>Supplementary Tables</w:t>
      </w:r>
    </w:p>
    <w:p>
      <w:pPr>
        <w:keepNext/>
      </w:pPr>
      <w:r>
        <w:rPr>
          <w:rFonts w:ascii="Times New Roman" w:hAnsi="Times New Roman"/>
          <w:b/>
          <w:sz w:val="22"/>
        </w:rPr>
        <w:t>Table S1. County-year suppression profile by rurality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51"/>
        <w:gridCol w:w="1851"/>
        <w:gridCol w:w="1851"/>
        <w:gridCol w:w="1851"/>
        <w:gridCol w:w="1851"/>
        <w:gridCol w:w="1851"/>
        <w:gridCol w:w="1851"/>
      </w:tblGrid>
      <w:tr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Year</w:t>
            </w:r>
          </w:p>
        </w:tc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 Rurality</w:t>
            </w:r>
          </w:p>
        </w:tc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Death Status</w:t>
            </w:r>
          </w:p>
        </w:tc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Rows</w:t>
            </w:r>
          </w:p>
        </w:tc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Lower</w:t>
            </w:r>
          </w:p>
        </w:tc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Upper</w:t>
            </w:r>
          </w:p>
        </w:tc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Population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2,019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metro_large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115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3,008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3,008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140,748,867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2,019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metro_large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231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231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2,079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41,234,422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2,019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metro_large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3,445,923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2,019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metro_other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815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815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25,046,886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2,019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metro_other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475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475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4,275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61,771,174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2,019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metro_other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210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6,738,663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2,019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82,124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2,019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4,509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20,241,430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2,019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542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10,576,320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2,019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nonmetro_nonadjacent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281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281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2,529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7,866,886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2,019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nonmetro_nonadjacent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627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6,889,848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2,019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2,689,809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2,019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889,655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2,019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17,516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metro_large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118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3,770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3,770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143,387,980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metro_large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242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242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2,178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39,902,579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metro_large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2,887,333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metro_other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1,233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1,233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34,971,655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metro_other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472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472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4,248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53,147,585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metro_other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184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5,974,950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146,665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549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549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4,941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21,356,660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493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9,395,324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nonmetro_nonadjacent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151,244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nonmetro_nonadjacent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328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328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2,952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8,686,768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nonmetro_nonadjacent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5,886,630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2,683,600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774,540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130,610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metro_large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132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3,991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3,991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148,791,213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metro_large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238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238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2,142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36,282,209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metro_large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2,529,831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metro_other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1,493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1,493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37,431,856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metro_other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467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467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4,203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52,714,629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metro_other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180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4,869,246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276,513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582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582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5,238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22,660,154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459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7,978,187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nonmetro_nonadjacent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314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314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2,826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8,612,535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nonmetro_nonadjacent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6,110,258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2,720,322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907,221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9,571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metro_large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129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4,360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4,360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147,698,381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metro_large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258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258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2,322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38,503,928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metro_large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2,063,361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metro_other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1,596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1,596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38,699,288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metro_other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482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482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4,338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53,486,945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metro_other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161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3,517,720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604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604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5,436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23,459,545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440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7,502,160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nonmetro_nonadjacent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82,959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nonmetro_nonadjacent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351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351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3,159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9,055,408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nonmetro_nonadjacent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556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5,560,397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22,982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8,278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metro_large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135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4,285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4,285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150,582,340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metro_large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233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233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2,097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36,032,252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metro_large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2,536,487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metro_other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110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1,762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1,762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42,752,551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metro_other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464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464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4,176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49,559,549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metro_other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164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4,040,327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315,073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607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607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5,463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23,062,675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434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7,686,701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nonmetro_nonadjacent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66,127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nonmetro_nonadjacent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347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347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3,123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9,139,814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nonmetro_nonadjacent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560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5,492,945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8,001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22,877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metro_large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139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4,440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4,440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156,893,458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metro_large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243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243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2,187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34,039,633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metro_large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1,895,305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metro_other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113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1,812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1,812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44,210,601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metro_other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461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461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4,149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49,397,283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metro_other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164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3,985,074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693,171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596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596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5,364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22,869,666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443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7,682,746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nonmetro_nonadjacent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66,410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nonmetro_nonadjacent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332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332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2,988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8,716,130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nonmetro_nonadjacent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5,955,901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100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100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21,306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9,235</w:t>
            </w:r>
          </w:p>
        </w:tc>
      </w:tr>
    </w:tbl>
    <w:p>
      <w:pPr>
        <w:spacing w:line="240" w:lineRule="auto" w:after="160"/>
      </w:pPr>
      <w:r>
        <w:rPr>
          <w:rFonts w:ascii="Times New Roman" w:hAnsi="Times New Roman"/>
          <w:sz w:val="18"/>
        </w:rPr>
        <w:t>Note. County-year rows preserve exact, suppressed, and zero death-count statuses.</w:t>
      </w:r>
    </w:p>
    <w:p>
      <w:r>
        <w:br w:type="page"/>
      </w:r>
    </w:p>
    <w:p>
      <w:pPr>
        <w:keepNext/>
      </w:pPr>
      <w:r>
        <w:rPr>
          <w:rFonts w:ascii="Times New Roman" w:hAnsi="Times New Roman"/>
          <w:b/>
          <w:sz w:val="22"/>
        </w:rPr>
        <w:t>Table S2. Full suppression-aware model results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Scenario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Model Family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Model Type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Term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Irr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Ci Low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Ci High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 Value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 Rows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Events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observed_exact_positive_only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0.942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0.864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0.169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observed_exact_positive_only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0.790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0.974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0.014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observed_exact_positive_only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0.905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0.769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1.065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0.231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observed_exact_positive_only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1.146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1.105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1.189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observed_exact_positive_only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acs_pct_male_z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1.044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0.459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observed_exact_positive_only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0.869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1.117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observed_exact_positive_only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0.936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1.078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0.356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observed_exact_positive_only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0.974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0.799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1.189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0.798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observed_exact_positive_only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0.960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0.818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1.128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0.624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observed_exact_positive_only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0.975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0.860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1.105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0.689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observed_exact_positive_only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svi_quartile_Q4_highest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0.862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0.750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0.990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0.036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observed_exact_positive_only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1.144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1.103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1.186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observed_exact_positive_only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acs_pct_male_z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1.045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0.458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observed_exact_positive_only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0.950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0.878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0.198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observed_exact_positive_only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0.893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0.817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0.975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0.011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observed_exact_positive_only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0.978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0.816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1.173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0.813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observed_exact_positive_only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acs_pct_poverty_z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0.938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0.424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observed_exact_positive_only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acs_median_household_income_z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0.796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0.868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observed_exact_positive_only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acs_pct_high_school_grad_or_higher_z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0.895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0.860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observed_exact_positive_only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acs_pct_uninsured_z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0.992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0.961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0.598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observed_exact_positive_only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acs_pct_non_hispanic_black_z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0.998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0.970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0.891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observed_exact_positive_only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acs_pct_hispanic_z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0.915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0.886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0.946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observed_exact_positive_only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1.042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1.113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observed_exact_plus_zero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0.932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0.849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0.135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observed_exact_plus_zero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0.776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0.692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0.870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observed_exact_plus_zero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0.799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1.041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0.173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observed_exact_plus_zero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0.947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0.394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observed_exact_plus_zero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acs_pct_male_z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0.817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0.762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0.876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observed_exact_plus_zero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0.915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0.144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observed_exact_plus_zero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0.766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0.662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0.886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observed_exact_plus_zero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0.908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1.062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0.227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observed_exact_plus_zero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0.861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1.119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0.783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observed_exact_plus_zero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1.045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0.910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0.534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observed_exact_plus_zero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svi_quartile_Q4_highest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0.885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1.184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0.753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observed_exact_plus_zero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0.947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0.399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observed_exact_plus_zero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acs_pct_male_z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0.817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0.763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0.875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observed_exact_plus_zero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0.936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0.855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0.147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observed_exact_plus_zero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0.809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0.724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0.905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observed_exact_plus_zero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0.936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0.830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1.056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0.281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observed_exact_plus_zero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acs_pct_poverty_z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1.065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0.992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1.144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0.080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observed_exact_plus_zero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acs_median_household_income_z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0.890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0.844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0.938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observed_exact_plus_zero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acs_pct_high_school_grad_or_higher_z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0.967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0.907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1.030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0.299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observed_exact_plus_zero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acs_pct_uninsured_z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0.887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observed_exact_plus_zero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acs_pct_non_hispanic_black_z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1.053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1.090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observed_exact_plus_zero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acs_pct_hispanic_z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0.978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0.938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0.311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observed_exact_plus_zero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0.966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0.926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1.007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0.099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1.039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0.934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1.156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0.484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52,552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1.008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0.909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1.118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0.876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52,552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0.999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0.897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52,552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0.960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0.929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0.991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0.011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52,552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acs_pct_male_z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0.855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0.816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0.895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52,552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0.924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1.143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0.615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52,552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0.891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1.096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0.825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52,552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0.884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1.096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0.776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52,552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1.032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0.940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1.133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0.513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52,552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1.050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0.955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1.153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0.312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52,552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svi_quartile_Q4_highest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1.114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1.225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0.025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52,552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0.962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0.932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0.993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0.016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52,552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acs_pct_male_z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0.859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0.820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52,552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0.925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1.149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0.582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52,552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1.003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0.903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1.113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0.960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52,552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0.965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0.866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1.075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0.520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52,552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acs_pct_poverty_z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1.065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1.003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1.132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0.040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52,552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acs_median_household_income_z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0.953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0.910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0.998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0.041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52,552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acs_pct_high_school_grad_or_higher_z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1.170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1.107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1.238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52,552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acs_pct_uninsured_z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0.942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0.419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52,552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acs_pct_non_hispanic_black_z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1.122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1.079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1.167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52,552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acs_pct_hispanic_z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1.134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1.090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1.180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52,552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0.947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0.354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52,552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suppressed_equals_mean_4_06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1.195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0.023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suppressed_equals_mean_4_06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1.143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1.055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1.238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suppressed_equals_mean_4_06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1.248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1.145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1.360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suppressed_equals_mean_4_06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1.214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1.173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1.257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suppressed_equals_mean_4_06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acs_pct_male_z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1.080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1.038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1.123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suppressed_equals_mean_4_06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1.097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1.193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0.028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suppressed_equals_mean_4_06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1.136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1.048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1.232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suppressed_equals_mean_4_06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1.243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1.140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1.355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suppressed_equals_mean_4_06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0.937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0.865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0.115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suppressed_equals_mean_4_06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0.997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0.917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1.084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0.945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suppressed_equals_mean_4_06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svi_quartile_Q4_highest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0.932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1.097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0.791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suppressed_equals_mean_4_06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1.215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1.174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1.259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suppressed_equals_mean_4_06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acs_pct_male_z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1.080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1.038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1.124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suppressed_equals_mean_4_06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1.050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0.972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1.135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0.212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suppressed_equals_mean_4_06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1.088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1.009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1.174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0.029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suppressed_equals_mean_4_06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1.201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1.105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1.306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suppressed_equals_mean_4_06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acs_pct_poverty_z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0.956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1.074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0.649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suppressed_equals_mean_4_06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acs_median_household_income_z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0.864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0.824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suppressed_equals_mean_4_06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acs_pct_high_school_grad_or_higher_z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1.030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1.086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0.272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suppressed_equals_mean_4_06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acs_pct_uninsured_z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1.070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1.114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suppressed_equals_mean_4_06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acs_pct_non_hispanic_black_z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1.039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0.477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suppressed_equals_mean_4_06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acs_pct_hispanic_z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1.041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1.005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1.079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0.025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suppressed_equals_mean_4_06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1.192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1.147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1.239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1.110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1.210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0.019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59,428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1.167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1.073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1.270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59,428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1.294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1.182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1.417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59,428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1.259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1.307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59,428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acs_pct_male_z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1.110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1.065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1.156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59,428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1.109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1.211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0.021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59,428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1.163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1.067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1.267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59,428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1.291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1.178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1.415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59,428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0.922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0.846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1.004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0.062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59,428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0.903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1.081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0.790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59,428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svi_quartile_Q4_highest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0.995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1.086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0.917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59,428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1.259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1.213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1.308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59,428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acs_pct_male_z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1.110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1.065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1.157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59,428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1.054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0.972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1.142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0.203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59,428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1.103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1.194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0.016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59,428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1.244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1.139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1.359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59,428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acs_pct_poverty_z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1.004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0.945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1.068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0.887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59,428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acs_median_household_income_z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0.847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0.804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0.891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59,428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acs_pct_high_school_grad_or_higher_z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0.957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1.072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0.663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59,428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acs_pct_uninsured_z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1.087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1.041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1.136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59,428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acs_pct_non_hispanic_black_z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0.992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0.963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0.588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59,428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acs_pct_hispanic_z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1.067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0.164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59,428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1.229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1.179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1.281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59,428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1.133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1.267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0.029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66,304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1.232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1.373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66,304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1.420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1.265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1.594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66,304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1.372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1.307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1.439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66,304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acs_pct_male_z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1.180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1.126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1.238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66,304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1.137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1.274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0.026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66,304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1.234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1.105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1.378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66,304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1.423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1.266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1.598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66,304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0.879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0.789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0.978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0.018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66,304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0.964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0.860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1.081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0.530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66,304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svi_quartile_Q4_highest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0.955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0.856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1.067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0.418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66,304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1.370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1.306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1.437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66,304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acs_pct_male_z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1.180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1.125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1.238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66,304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1.063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0.960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0.240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66,304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1.140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1.033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1.259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66,304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1.359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1.217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1.517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66,304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acs_pct_poverty_z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0.979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1.052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0.566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66,304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acs_median_household_income_z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0.797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0.747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0.850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66,304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acs_pct_high_school_grad_or_higher_z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0.974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0.910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1.043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0.449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66,304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acs_pct_uninsured_z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1.136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1.198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66,304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acs_pct_non_hispanic_black_z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0.944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0.911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0.978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66,304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acs_pct_hispanic_z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0.992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0.947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1.040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0.742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66,304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1.326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1.260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1.395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66,304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population_scaled_residual_allocation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0.968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1.084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0.402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57,817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population_scaled_residual_allocation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1.036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1.092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0.193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57,817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population_scaled_residual_allocation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1.045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1.105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0.122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57,817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population_scaled_residual_allocation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1.053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1.033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1.073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57,817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population_scaled_residual_allocation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acs_pct_male_z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0.954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1.001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0.063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57,817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population_scaled_residual_allocation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0.962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1.076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0.555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57,817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population_scaled_residual_allocation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0.971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1.081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0.373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57,817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population_scaled_residual_allocation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1.037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1.096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0.203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57,817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population_scaled_residual_allocation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1.009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0.962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1.059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0.717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57,817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population_scaled_residual_allocation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0.975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0.332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57,817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population_scaled_residual_allocation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svi_quartile_Q4_highest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1.062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1.116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0.016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57,817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population_scaled_residual_allocation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1.055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1.035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1.075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57,817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population_scaled_residual_allocation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acs_pct_male_z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0.979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0.956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1.004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0.094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57,817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population_scaled_residual_allocation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0.994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0.943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1.048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0.819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57,817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population_scaled_residual_allocation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1.003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0.954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1.054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0.913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57,817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population_scaled_residual_allocation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1.008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0.956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1.062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0.768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57,817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population_scaled_residual_allocation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acs_pct_poverty_z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1.001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0.971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1.033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0.928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57,817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population_scaled_residual_allocation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acs_median_household_income_z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0.889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0.865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0.914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57,817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population_scaled_residual_allocation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acs_pct_high_school_grad_or_higher_z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1.044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0.268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57,817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population_scaled_residual_allocation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acs_pct_uninsured_z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1.003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0.779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57,817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population_scaled_residual_allocation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acs_pct_non_hispanic_black_z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1.004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1.045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0.017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57,817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population_scaled_residual_allocation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acs_pct_hispanic_z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0.993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1.032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0.206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57,817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population_scaled_residual_allocation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1.030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1.009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1.051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57,817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conservative_anti_rural_allocation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0.950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1.101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0.550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conservative_anti_rural_allocation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0.939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1.078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0.872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conservative_anti_rural_allocation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0.976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0.908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1.049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0.509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conservative_anti_rural_allocation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1.030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1.005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1.055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0.017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conservative_anti_rural_allocation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acs_pct_male_z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0.967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0.935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0.049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conservative_anti_rural_allocation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0.940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1.089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0.758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conservative_anti_rural_allocation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0.992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0.925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1.064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0.821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conservative_anti_rural_allocation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0.966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0.899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1.038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0.346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conservative_anti_rural_allocation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1.046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1.117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0.171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conservative_anti_rural_allocation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1.050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1.122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0.147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conservative_anti_rural_allocation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svi_quartile_Q4_highest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1.088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1.162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0.011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conservative_anti_rural_allocation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1.033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1.008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1.058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conservative_anti_rural_allocation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acs_pct_male_z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0.970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0.937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1.003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0.073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conservative_anti_rural_allocation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0.998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0.929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1.072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0.951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conservative_anti_rural_allocation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0.923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1.056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0.717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conservative_anti_rural_allocation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0.963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0.898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1.034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0.301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conservative_anti_rural_allocation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acs_pct_poverty_z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0.962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0.922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1.003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0.070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conservative_anti_rural_allocation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acs_median_household_income_z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0.926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0.891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0.964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conservative_anti_rural_allocation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acs_pct_high_school_grad_or_higher_z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0.949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0.450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conservative_anti_rural_allocation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acs_pct_uninsured_z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0.999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0.969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0.934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conservative_anti_rural_allocation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acs_pct_non_hispanic_black_z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1.062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1.035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1.089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conservative_anti_rural_allocation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acs_pct_hispanic_z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0.964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0.939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conservative_anti_rural_allocation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1.044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0.295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pro_rural_allocation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1.062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0.994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1.135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0.075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57,819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pro_rural_allocation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1.091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1.161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57,819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pro_rural_allocation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1.132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1.061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1.209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57,819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pro_rural_allocation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1.097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1.074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1.120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57,819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pro_rural_allocation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acs_pct_male_z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1.001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0.975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0.951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57,819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pro_rural_allocation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1.056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1.129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0.106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57,819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pro_rural_allocation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1.080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1.151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0.017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57,819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pro_rural_allocation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1.125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1.054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1.201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57,819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pro_rural_allocation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0.933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1.042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0.617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57,819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pro_rural_allocation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0.956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1.069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0.703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57,819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pro_rural_allocation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svi_quartile_Q4_highest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1.049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0.992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1.109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0.091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57,819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pro_rural_allocation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1.099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1.076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1.122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57,819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pro_rural_allocation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acs_pct_male_z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1.003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0.847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57,819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pro_rural_allocation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0.959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1.086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0.521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57,819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pro_rural_allocation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1.040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1.104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0.189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57,819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pro_rural_allocation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1.075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1.143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0.019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57,819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pro_rural_allocation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acs_pct_poverty_z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1.058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0.219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57,819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pro_rural_allocation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acs_median_household_income_z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0.855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0.828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0.882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57,819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pro_rural_allocation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acs_pct_high_school_grad_or_higher_z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0.990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1.051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0.200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57,819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pro_rural_allocation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acs_pct_uninsured_z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1.038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0.291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57,819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pro_rural_allocation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acs_pct_non_hispanic_black_z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0.979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0.978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57,819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pro_rural_allocation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acs_pct_hispanic_z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1.035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1.058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57,819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pro_rural_allocation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1.064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1.041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1.089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57,819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interval_likelihood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interval_nb_rurality_only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interval_likelihood_negative_binomial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1.062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0.523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2.158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interval_likelihood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interval_nb_rurality_only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interval_likelihood_negative_binomial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1.042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0.719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1.512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interval_likelihood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interval_nb_rurality_only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interval_likelihood_negative_binomial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1.078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0.618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1.879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interval_likelihood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interval_nb_rurality_svi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interval_likelihood_negative_binomial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1.053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0.458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2.424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interval_likelihood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interval_nb_rurality_svi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interval_likelihood_negative_binomial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0.473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2.233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interval_likelihood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interval_nb_rurality_svi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interval_likelihood_negative_binomial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1.068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0.634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1.798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interval_likelihood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interval_nb_rurality_svi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interval_likelihood_negative_binomial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svi_quartile_Q4_highest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0.460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2.526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</w:tbl>
    <w:p>
      <w:pPr>
        <w:spacing w:line="240" w:lineRule="auto" w:after="160"/>
      </w:pPr>
      <w:r>
        <w:rPr>
          <w:rFonts w:ascii="Times New Roman" w:hAnsi="Times New Roman"/>
          <w:sz w:val="18"/>
        </w:rPr>
        <w:t>Note. Includes all scenario, family, and term rows used to support main Table 3.</w:t>
      </w:r>
    </w:p>
    <w:p>
      <w:r>
        <w:br w:type="page"/>
      </w:r>
    </w:p>
    <w:p>
      <w:pPr>
        <w:keepNext/>
      </w:pPr>
      <w:r>
        <w:rPr>
          <w:rFonts w:ascii="Times New Roman" w:hAnsi="Times New Roman"/>
          <w:b/>
          <w:sz w:val="22"/>
        </w:rPr>
        <w:t>Table S3. Interval-likelihood model estimates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Model Family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Term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Coef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Se Approx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Irr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Ci Low Approx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Ci High Approx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 Rows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 Log Likelihood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Converged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interval_nb_rurality_only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0.060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0.362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1.062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0.523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2.158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-5,172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True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interval_nb_rurality_only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0.042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0.190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1.042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0.719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1.512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-5,172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True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interval_nb_rurality_only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0.075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0.284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1.078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0.618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1.879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-5,172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True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interval_nb_rurality_svi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0.052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0.425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1.053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0.458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2.424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-5,169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True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interval_nb_rurality_svi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0.027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0.396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0.473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2.233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-5,169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True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interval_nb_rurality_svi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0.065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0.266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1.068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0.634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1.798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-5,169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True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interval_nb_rurality_svi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0.030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0.866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1.030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0.189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5.622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-5,169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True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interval_nb_rurality_svi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0.042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0.457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1.043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0.426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2.555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-5,169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True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interval_nb_rurality_svi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svi_quartile_Q4_highest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0.075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0.435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0.460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2.526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-5,169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True</w:t>
            </w:r>
          </w:p>
        </w:tc>
      </w:tr>
    </w:tbl>
    <w:p>
      <w:pPr>
        <w:spacing w:line="240" w:lineRule="auto" w:after="160"/>
      </w:pPr>
      <w:r>
        <w:rPr>
          <w:rFonts w:ascii="Times New Roman" w:hAnsi="Times New Roman"/>
          <w:sz w:val="18"/>
        </w:rPr>
        <w:t>Note. Approximate confidence intervals use optimizer inverse-Hessian estimates; suppressed rows contribute interval probabilities.</w:t>
      </w:r>
    </w:p>
    <w:p>
      <w:r>
        <w:br w:type="page"/>
      </w:r>
    </w:p>
    <w:p>
      <w:pPr>
        <w:keepNext/>
      </w:pPr>
      <w:r>
        <w:rPr>
          <w:rFonts w:ascii="Times New Roman" w:hAnsi="Times New Roman"/>
          <w:b/>
          <w:sz w:val="22"/>
        </w:rPr>
        <w:t>Table S4. Component-model VIF diagnostics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40"/>
        <w:gridCol w:w="3240"/>
        <w:gridCol w:w="3240"/>
        <w:gridCol w:w="3240"/>
      </w:tblGrid>
      <w:tr>
        <w:tc>
          <w:tcPr>
            <w:tcW w:type="dxa" w:w="3240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Variable</w:t>
            </w:r>
          </w:p>
        </w:tc>
        <w:tc>
          <w:tcPr>
            <w:tcW w:type="dxa" w:w="3240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Vif</w:t>
            </w:r>
          </w:p>
        </w:tc>
        <w:tc>
          <w:tcPr>
            <w:tcW w:type="dxa" w:w="3240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 Squared</w:t>
            </w:r>
          </w:p>
        </w:tc>
        <w:tc>
          <w:tcPr>
            <w:tcW w:type="dxa" w:w="3240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acs_pct_poverty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2.912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0.657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3,129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acs_median_household_income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2.916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0.657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3,129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acs_pct_high_school_grad_or_higher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2.391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0.582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3,129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acs_pct_uninsured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1.547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0.354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3,129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acs_pct_non_hispanic_black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1.345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0.257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3,129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acs_pct_hispanic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1.631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0.387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3,129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1.367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0.269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3,129</w:t>
            </w:r>
          </w:p>
        </w:tc>
      </w:tr>
    </w:tbl>
    <w:p>
      <w:pPr>
        <w:spacing w:line="240" w:lineRule="auto" w:after="160"/>
      </w:pPr>
      <w:r>
        <w:rPr>
          <w:rFonts w:ascii="Times New Roman" w:hAnsi="Times New Roman"/>
          <w:sz w:val="18"/>
        </w:rPr>
        <w:t>Note. Maximum VIF was approximately 2.92 for median household income/poverty-related component diagnostics.</w:t>
      </w:r>
    </w:p>
    <w:p>
      <w:r>
        <w:br w:type="page"/>
      </w:r>
    </w:p>
    <w:p>
      <w:pPr>
        <w:keepNext/>
      </w:pPr>
      <w:r>
        <w:rPr>
          <w:rFonts w:ascii="Times New Roman" w:hAnsi="Times New Roman"/>
          <w:b/>
          <w:sz w:val="22"/>
        </w:rPr>
        <w:t>Table S5. Place of death by urbanization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51"/>
        <w:gridCol w:w="1851"/>
        <w:gridCol w:w="1851"/>
        <w:gridCol w:w="1851"/>
        <w:gridCol w:w="1851"/>
        <w:gridCol w:w="1851"/>
        <w:gridCol w:w="1851"/>
      </w:tblGrid>
      <w:tr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Table</w:t>
            </w:r>
          </w:p>
        </w:tc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Urbanization</w:t>
            </w:r>
          </w:p>
        </w:tc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</w:t>
            </w:r>
          </w:p>
        </w:tc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Death Count Status</w:t>
            </w:r>
          </w:p>
        </w:tc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Rows</w:t>
            </w:r>
          </w:p>
        </w:tc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Lower</w:t>
            </w:r>
          </w:p>
        </w:tc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Upper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Decedent's home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4,880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4,880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Hospice facility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788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788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Dead on Arrival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18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Inpatient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7,321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7,321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Outpatient or 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1,043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1,043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Status unknown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Nursing home/long term care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1,747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1,747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Other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821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821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unknown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Decedent's home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3,252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3,252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Hospice facility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834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834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Dead on Arrival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38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Inpatient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5,185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5,185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Outpatient or 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673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673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Status unknown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Nursing home/long term care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1,479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1,479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Other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541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541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unknown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Decedent's home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3,830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3,830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Hospice facility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895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895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Dead on Arrival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19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Inpatient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5,148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5,148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Outpatient or 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612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612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Status unknown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Nursing home/long term care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1,853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1,853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Other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640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640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unknown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Decedent's home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1,820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1,820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Hospice facility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318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318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Dead on Arrival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29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Inpatient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2,330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2,330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Outpatient or 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351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351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Status unknown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Nursing home/long term care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1,121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1,121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Other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279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279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unknown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Decedent's home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1,205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1,205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Hospice facility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159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159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Dead on Arrival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16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16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Inpatient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1,638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1,638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Outpatient or 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291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291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Status unknown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Nursing home/long term care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723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723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Other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177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177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unknown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Decedent's home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88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Hospice facility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22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Dead on Arrival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Inpatient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313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313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Outpatient or 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24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Status unknown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Nursing home/long term care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88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Other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17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17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unknown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Decedent's home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1,715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1,715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Hospice facility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382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382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Dead on Arrival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Inpatient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2,211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2,211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Outpatient or 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284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284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Status unknown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Nursing home/long term care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877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877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Other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269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269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unknown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</w:tbl>
    <w:p>
      <w:pPr>
        <w:spacing w:line="240" w:lineRule="auto" w:after="160"/>
      </w:pPr>
      <w:r>
        <w:rPr>
          <w:rFonts w:ascii="Times New Roman" w:hAnsi="Times New Roman"/>
          <w:sz w:val="18"/>
        </w:rPr>
        <w:t>Note. Descriptive place-of-death context is aggregate and subject to WONDER suppression.</w:t>
      </w:r>
    </w:p>
    <w:p>
      <w:r>
        <w:br w:type="page"/>
      </w:r>
    </w:p>
    <w:p>
      <w:pPr>
        <w:keepNext/>
      </w:pPr>
      <w:r>
        <w:rPr>
          <w:rFonts w:ascii="Times New Roman" w:hAnsi="Times New Roman"/>
          <w:b/>
          <w:sz w:val="22"/>
        </w:rPr>
        <w:t>Table S6. Age group by urbanization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51"/>
        <w:gridCol w:w="1851"/>
        <w:gridCol w:w="1851"/>
        <w:gridCol w:w="1851"/>
        <w:gridCol w:w="1851"/>
        <w:gridCol w:w="1851"/>
        <w:gridCol w:w="1851"/>
      </w:tblGrid>
      <w:tr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Table</w:t>
            </w:r>
          </w:p>
        </w:tc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Urbanization</w:t>
            </w:r>
          </w:p>
        </w:tc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</w:t>
            </w:r>
          </w:p>
        </w:tc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Death Count Status</w:t>
            </w:r>
          </w:p>
        </w:tc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Rows</w:t>
            </w:r>
          </w:p>
        </w:tc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Lower</w:t>
            </w:r>
          </w:p>
        </w:tc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Upper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1-4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15-24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954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954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25-34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1,217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1,217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35-44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1,226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1,226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45-54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1,593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1,593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5-14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489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489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55-64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2,688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2,688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65-74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3,511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3,511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75-84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2,743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2,743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85+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1,854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1,854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&lt; 1 year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143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143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Stated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1-4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156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156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15-24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637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637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25-34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740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740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35-44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790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790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45-54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995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995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5-14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332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332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55-64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1,933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1,933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65-74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2,578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2,578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75-84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2,246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2,246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85+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1,501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1,501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&lt; 1 year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94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Stated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1-4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140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140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15-24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600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600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25-34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782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782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35-44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878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878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45-54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1,177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1,177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5-14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337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337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55-64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2,251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2,251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65-74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2,762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2,762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75-84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2,458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2,458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85+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1,524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1,524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&lt; 1 year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88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Stated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1-4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15-24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253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253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25-34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336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336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35-44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445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445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45-54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615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615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5-14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138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138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55-64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1,155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1,155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65-74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1,364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1,364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75-84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1,159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1,159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85+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680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680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&lt; 1 year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41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Stated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1-4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49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15-24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174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174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25-34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206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206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35-44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283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283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45-54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402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402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5-14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103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103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55-64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767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767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65-74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985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985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75-84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790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790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85+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429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429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&lt; 1 year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22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Stated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1-4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15-24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25-34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35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35-44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25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45-54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5-14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55-64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76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76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65-74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122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122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75-84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125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125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85+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89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&lt; 1 year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Stated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1-4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77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77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15-24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287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287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25-34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341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341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35-44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403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403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45-54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562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562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5-14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138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138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55-64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984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984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65-74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1,241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1,241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75-84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1,014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1,014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85+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648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648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&lt; 1 year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Stated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</w:tbl>
    <w:p>
      <w:pPr>
        <w:spacing w:line="240" w:lineRule="auto" w:after="160"/>
      </w:pPr>
      <w:r>
        <w:rPr>
          <w:rFonts w:ascii="Times New Roman" w:hAnsi="Times New Roman"/>
          <w:sz w:val="18"/>
        </w:rPr>
        <w:t>Note. Age group descriptive context is aggregate and not a person-level risk estimate.</w:t>
      </w:r>
    </w:p>
    <w:p>
      <w:r>
        <w:br w:type="page"/>
      </w:r>
    </w:p>
    <w:p>
      <w:pPr>
        <w:keepNext/>
      </w:pPr>
      <w:r>
        <w:rPr>
          <w:rFonts w:ascii="Times New Roman" w:hAnsi="Times New Roman"/>
          <w:b/>
          <w:sz w:val="22"/>
        </w:rPr>
        <w:t>Table S7. Sex by urbanization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51"/>
        <w:gridCol w:w="1851"/>
        <w:gridCol w:w="1851"/>
        <w:gridCol w:w="1851"/>
        <w:gridCol w:w="1851"/>
        <w:gridCol w:w="1851"/>
        <w:gridCol w:w="1851"/>
      </w:tblGrid>
      <w:tr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Table</w:t>
            </w:r>
          </w:p>
        </w:tc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Urbanization</w:t>
            </w:r>
          </w:p>
        </w:tc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Sex</w:t>
            </w:r>
          </w:p>
        </w:tc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Death Count Status</w:t>
            </w:r>
          </w:p>
        </w:tc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Rows</w:t>
            </w:r>
          </w:p>
        </w:tc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Lower</w:t>
            </w:r>
          </w:p>
        </w:tc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Upper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sex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Female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7,983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7,983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sex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Male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8,638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8,638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sex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Female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6,022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6,022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sex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Male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5,980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5,980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sex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Female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6,388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6,388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sex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Male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6,610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6,610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sex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Female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3,096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3,096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sex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Male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3,153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3,153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sex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Female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sex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Male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2,190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2,190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sex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Female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271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271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sex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Male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284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284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sex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Female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2,803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2,803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sex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Male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2,942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2,942</w:t>
            </w:r>
          </w:p>
        </w:tc>
      </w:tr>
    </w:tbl>
    <w:p>
      <w:pPr>
        <w:spacing w:line="240" w:lineRule="auto" w:after="160"/>
      </w:pPr>
      <w:r>
        <w:rPr>
          <w:rFonts w:ascii="Times New Roman" w:hAnsi="Times New Roman"/>
          <w:sz w:val="18"/>
        </w:rPr>
        <w:t>Note. Sex-stratified descriptive context sums to the validated national multiple-cause total where rows are exact.</w:t>
      </w:r>
    </w:p>
    <w:p>
      <w:r>
        <w:br w:type="page"/>
      </w:r>
    </w:p>
    <w:p>
      <w:pPr>
        <w:keepNext/>
      </w:pPr>
      <w:r>
        <w:rPr>
          <w:rFonts w:ascii="Times New Roman" w:hAnsi="Times New Roman"/>
          <w:b/>
          <w:sz w:val="22"/>
        </w:rPr>
        <w:t>Table S8. Race and Hispanic-origin descriptive summaries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Descriptive Domain</w:t>
            </w:r>
          </w:p>
        </w:tc>
        <w:tc>
          <w:tcPr>
            <w:tcW w:type="dxa" w:w="1440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Table</w:t>
            </w:r>
          </w:p>
        </w:tc>
        <w:tc>
          <w:tcPr>
            <w:tcW w:type="dxa" w:w="1440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Urbanization</w:t>
            </w:r>
          </w:p>
        </w:tc>
        <w:tc>
          <w:tcPr>
            <w:tcW w:type="dxa" w:w="1440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Death Count Status</w:t>
            </w:r>
          </w:p>
        </w:tc>
        <w:tc>
          <w:tcPr>
            <w:tcW w:type="dxa" w:w="1440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Rows</w:t>
            </w:r>
          </w:p>
        </w:tc>
        <w:tc>
          <w:tcPr>
            <w:tcW w:type="dxa" w:w="1440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Lower</w:t>
            </w:r>
          </w:p>
        </w:tc>
        <w:tc>
          <w:tcPr>
            <w:tcW w:type="dxa" w:w="1440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Upper</w:t>
            </w:r>
          </w:p>
        </w:tc>
        <w:tc>
          <w:tcPr>
            <w:tcW w:type="dxa" w:w="1440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Origin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American Indian or Alaska Native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105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105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Asian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626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626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Black or African American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5,074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5,074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More than one 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206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206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Native Hawaiian or Other Pacific Islander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White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10,560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10,560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American Indian or Alaska Native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49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49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Asian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291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291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Black or African American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2,491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2,491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More than one 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89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89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Native Hawaiian or Other Pacific Islander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13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13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White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9,069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9,069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American Indian or Alaska Native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Asian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188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188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Black or African American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2,482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2,482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More than one 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112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112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Native Hawaiian or Other Pacific Islander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36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36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White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10,089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10,089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American Indian or Alaska Native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122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122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Asian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28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28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Black or African American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809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809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More than one 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Native Hawaiian or Other Pacific Islander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White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5,222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5,222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American Indian or Alaska Native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163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163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Asian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Black or African American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548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548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More than one 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17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17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Native Hawaiian or Other Pacific Islander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White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3,468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3,468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American Indian or Alaska Native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Asian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Black or African American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97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97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More than one 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Native Hawaiian or Other Pacific Islander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White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442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442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American Indian or Alaska Native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85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85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Asian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Black or African American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756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756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More than one 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Native Hawaiian or Other Pacific Islander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White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4,808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4,808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hispanic_origin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3,032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3,032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 Latino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hispanic_origin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13,487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13,487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Hispanic or Latino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hispanic_origin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102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102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Stated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hispanic_origin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987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987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 Latino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hispanic_origin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10,992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10,992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Hispanic or Latino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hispanic_origin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23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23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Stated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hispanic_origin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1,324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1,324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 Latino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hispanic_origin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11,631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11,631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Hispanic or Latino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hispanic_origin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43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43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Stated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hispanic_origin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340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340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 Latino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hispanic_origin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5,894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5,894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Hispanic or Latino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hispanic_origin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15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15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Stated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hispanic_origin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168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168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 Latino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hispanic_origin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4,033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4,033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Hispanic or Latino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hispanic_origin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Stated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hispanic_origin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 Latino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hispanic_origin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488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488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Hispanic or Latino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hispanic_origin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Stated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hispanic_origin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360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360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 Latino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hispanic_origin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5,365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5,365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Hispanic or Latino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hispanic_origin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Stated</w:t>
            </w:r>
          </w:p>
        </w:tc>
      </w:tr>
    </w:tbl>
    <w:p>
      <w:pPr>
        <w:spacing w:line="240" w:lineRule="auto" w:after="160"/>
      </w:pPr>
      <w:r>
        <w:rPr>
          <w:rFonts w:ascii="Times New Roman" w:hAnsi="Times New Roman"/>
          <w:sz w:val="18"/>
        </w:rPr>
        <w:t>Note. Race and Hispanic-origin outputs are descriptive aggregate summaries and are limited by suppression.</w:t>
      </w:r>
    </w:p>
    <w:p>
      <w:r>
        <w:br w:type="page"/>
      </w:r>
    </w:p>
    <w:p>
      <w:pPr>
        <w:keepNext/>
      </w:pPr>
      <w:r>
        <w:rPr>
          <w:rFonts w:ascii="Times New Roman" w:hAnsi="Times New Roman"/>
          <w:b/>
          <w:sz w:val="22"/>
        </w:rPr>
        <w:t>Table S9. Underlying-cause county suppression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40"/>
        <w:gridCol w:w="3240"/>
        <w:gridCol w:w="3240"/>
        <w:gridCol w:w="3240"/>
      </w:tblGrid>
      <w:tr>
        <w:tc>
          <w:tcPr>
            <w:tcW w:type="dxa" w:w="3240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Death Count Status</w:t>
            </w:r>
          </w:p>
        </w:tc>
        <w:tc>
          <w:tcPr>
            <w:tcW w:type="dxa" w:w="3240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Rows</w:t>
            </w:r>
          </w:p>
        </w:tc>
        <w:tc>
          <w:tcPr>
            <w:tcW w:type="dxa" w:w="3240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Lower</w:t>
            </w:r>
          </w:p>
        </w:tc>
        <w:tc>
          <w:tcPr>
            <w:tcW w:type="dxa" w:w="3240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Upper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aggregate_total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22,306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22,306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504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16,650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16,650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1,866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1,866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16,794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772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</w:tbl>
    <w:p>
      <w:pPr>
        <w:spacing w:line="240" w:lineRule="auto" w:after="160"/>
      </w:pPr>
      <w:r>
        <w:rPr>
          <w:rFonts w:ascii="Times New Roman" w:hAnsi="Times New Roman"/>
          <w:sz w:val="18"/>
        </w:rPr>
        <w:t>Note. Underlying-cause G40/G41 sensitivity profile preserves exact, suppressed, and explicit-zero status.</w:t>
      </w:r>
    </w:p>
    <w:p>
      <w:r>
        <w:br w:type="page"/>
      </w:r>
    </w:p>
    <w:p>
      <w:pPr>
        <w:keepNext/>
      </w:pPr>
      <w:r>
        <w:rPr>
          <w:rFonts w:ascii="Times New Roman" w:hAnsi="Times New Roman"/>
          <w:b/>
          <w:sz w:val="22"/>
        </w:rPr>
        <w:t>Table S10. County merge and Connecticut geography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  <w:gridCol w:w="2592"/>
      </w:tblGrid>
      <w:tr>
        <w:tc>
          <w:tcPr>
            <w:tcW w:type="dxa" w:w="2592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Merge Issue</w:t>
            </w:r>
          </w:p>
        </w:tc>
        <w:tc>
          <w:tcPr>
            <w:tcW w:type="dxa" w:w="2592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County Fips</w:t>
            </w:r>
          </w:p>
        </w:tc>
        <w:tc>
          <w:tcPr>
            <w:tcW w:type="dxa" w:w="2592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County</w:t>
            </w:r>
          </w:p>
        </w:tc>
        <w:tc>
          <w:tcPr>
            <w:tcW w:type="dxa" w:w="2592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County Name</w:t>
            </w:r>
          </w:p>
        </w:tc>
        <w:tc>
          <w:tcPr>
            <w:tcW w:type="dxa" w:w="2592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Notes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WONDER county missing covariates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2261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Valdez-Cordova Census Area, AK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WONDER county missing covariates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2270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Wade Hampton Census Area, AK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WONDER county missing covariates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9001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Fairfield County, CT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WONDER county missing covariates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9003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Hartford County, CT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WONDER county missing covariates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9005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Litchfield County, CT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WONDER county missing covariates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9007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Middlesex County, CT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WONDER county missing covariates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9009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New Haven County, CT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WONDER county missing covariates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9011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New London County, CT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WONDER county missing covariates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9013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Tolland County, CT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WONDER county missing covariates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9015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Windham County, CT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WONDER county missing covariates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46113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Shannon County, SD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Covariate county missing WONDER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2063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Covariate county missing WONDER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2066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Covariate county missing WONDER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2158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Covariate county missing WONDER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9110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Covariate county missing WONDER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9120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Covariate county missing WONDER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9130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Covariate county missing WONDER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9140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Covariate county missing WONDER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9150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Covariate county missing WONDER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9160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Covariate county missing WONDER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9170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Covariate county missing WONDER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9180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Covariate county missing WONDER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9190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Covariate county missing WONDER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46102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Connecticut geography note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09xxx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Connecticut county/county-equivalent units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CDC WONDER county-equivalent warning retained; no crosswalk correction applied; 2022 planning-region transition may affect period comparability.</w:t>
            </w:r>
          </w:p>
        </w:tc>
      </w:tr>
    </w:tbl>
    <w:p>
      <w:pPr>
        <w:spacing w:line="240" w:lineRule="auto" w:after="160"/>
      </w:pPr>
      <w:r>
        <w:rPr>
          <w:rFonts w:ascii="Times New Roman" w:hAnsi="Times New Roman"/>
          <w:sz w:val="18"/>
        </w:rPr>
        <w:t>Note. Merge exceptions and Connecticut geography cautions are documented for reproducibility.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 w:val="0"/>
          <w:sz w:val="24"/>
        </w:rPr>
        <w:t>Supplementary Figures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955279" cy="45458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_national_year_tren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955279" cy="45458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00"/>
        <w:jc w:val="left"/>
      </w:pPr>
      <w:r>
        <w:rPr>
          <w:rFonts w:ascii="Times New Roman" w:hAnsi="Times New Roman"/>
          <w:i/>
          <w:sz w:val="20"/>
        </w:rPr>
        <w:t>Figure S1. National multiple-cause G40/G41 mortality trend, 2019-2024.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955279" cy="49720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_original_covid_urbanization_yea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955279" cy="4972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00"/>
        <w:jc w:val="left"/>
      </w:pPr>
      <w:r>
        <w:rPr>
          <w:rFonts w:ascii="Times New Roman" w:hAnsi="Times New Roman"/>
          <w:i/>
          <w:sz w:val="20"/>
        </w:rPr>
        <w:t>Figure S2. COVID co-mention by urbanization-year, 2019-2024.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955279" cy="50624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3_suppression_aware_residual_ra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955279" cy="5062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00"/>
        <w:jc w:val="left"/>
      </w:pPr>
      <w:r>
        <w:rPr>
          <w:rFonts w:ascii="Times New Roman" w:hAnsi="Times New Roman"/>
          <w:i/>
          <w:sz w:val="20"/>
        </w:rPr>
        <w:t>Figure S3. Residual-allocation county mortality rate map.</w:t>
      </w:r>
    </w:p>
    <w:sectPr w:rsidR="00FC693F" w:rsidRPr="0006063C" w:rsidSect="00034616">
      <w:footerReference w:type="default" r:id="rId9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>supplement_revised.docx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48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480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48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480" w:lineRule="auto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