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val="0"/>
          <w:sz w:val="24"/>
        </w:rPr>
        <w:t>Cover Letter</w:t>
      </w:r>
    </w:p>
    <w:p>
      <w:r>
        <w:rPr>
          <w:rFonts w:ascii="Times New Roman" w:hAnsi="Times New Roman"/>
          <w:b w:val="0"/>
          <w:sz w:val="24"/>
        </w:rPr>
        <w:t>Dear Editors,</w:t>
      </w:r>
    </w:p>
    <w:p>
      <w:r>
        <w:rPr>
          <w:rFonts w:ascii="Times New Roman" w:hAnsi="Times New Roman"/>
          <w:b w:val="0"/>
          <w:sz w:val="24"/>
        </w:rPr>
        <w:t>Please consider the revised original research manuscript, "Suppression-Aware County-Level Epilepsy and Status Epilepticus Mortality in the United States, 2019–2024," for publication in Epilepsy &amp; Behavior.</w:t>
      </w:r>
    </w:p>
    <w:p>
      <w:r>
        <w:rPr>
          <w:rFonts w:ascii="Times New Roman" w:hAnsi="Times New Roman"/>
          <w:b w:val="0"/>
          <w:sz w:val="24"/>
        </w:rPr>
        <w:t>This manuscript presents a national ecological county-level analysis of epilepsy/status epilepticus-related mortality using reconciled CDC WONDER aggregate outputs and public county covariates. The revised package addresses a full pre-submission editorial-methodological review. Major revisions include reframing the suppression scenario hierarchy around reconciliation to the known county total, adding a constant-mean stress test, embedding populated main Tables 1-5, replacing the temporal/COVID figure so it covers 2019-2024 and includes COVID co-mention context, splitting Figure 2 into rurality and SVI panels, clarifying age-structure adjustment, and expanding the comparison with prior censored-WONDER methods.</w:t>
      </w:r>
    </w:p>
    <w:p>
      <w:r>
        <w:rPr>
          <w:rFonts w:ascii="Times New Roman" w:hAnsi="Times New Roman"/>
          <w:b w:val="0"/>
          <w:sz w:val="24"/>
        </w:rPr>
        <w:t>The work is not under consideration elsewhere and has not been published previously. The author approves submission. No external funding was received, and the author declares no competing interests. The study used public, aggregate, deidentified data and was deemed not human-subjects research.</w:t>
      </w:r>
    </w:p>
    <w:p>
      <w:r>
        <w:rPr>
          <w:rFonts w:ascii="Times New Roman" w:hAnsi="Times New Roman"/>
          <w:b w:val="0"/>
          <w:sz w:val="24"/>
        </w:rPr>
        <w:t>Sincerely,</w:t>
      </w:r>
    </w:p>
    <w:p>
      <w:r>
        <w:rPr>
          <w:rFonts w:ascii="Times New Roman" w:hAnsi="Times New Roman"/>
          <w:b w:val="0"/>
          <w:sz w:val="24"/>
        </w:rPr>
        <w:t>Gregory Pierpoint, B.S.</w:t>
      </w:r>
    </w:p>
    <w:p>
      <w:r>
        <w:rPr>
          <w:rFonts w:ascii="Times New Roman" w:hAnsi="Times New Roman"/>
          <w:b w:val="0"/>
          <w:sz w:val="24"/>
        </w:rPr>
        <w:t>Macon &amp; Joan Brock Virginia Health Sciences, Eastern Virginia Medical School at Old Dominion University, Norfolk, VA, United States</w:t>
      </w:r>
    </w:p>
    <w:p>
      <w:r>
        <w:rPr>
          <w:rFonts w:ascii="Times New Roman" w:hAnsi="Times New Roman"/>
          <w:b w:val="0"/>
          <w:sz w:val="24"/>
        </w:rPr>
        <w:t>Email: pierpogb@odu.edu</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cover_letter_revised.docx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