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Response To Editorial Review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Author: Gregory Pierpoint, B.S.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Overview</w:t>
      </w:r>
    </w:p>
    <w:p>
      <w:r>
        <w:rPr>
          <w:rFonts w:ascii="Times New Roman" w:hAnsi="Times New Roman"/>
          <w:b w:val="0"/>
          <w:sz w:val="24"/>
        </w:rPr>
        <w:t>The revised submission package addresses all major issues, minor issues, and author questions raised in the pre-submission editorial review, the Round 2 completeness assessment, and the latest figure/age-adjustment editorial review. The revisions preserve the paper's conservative suppression-sensitive framing while correcting figure content, figure layout, age-structure wording, supplement self-containment, and cover-letter precision.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Round 3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Figure 4 as the corrected 2019-2024 urbanization-year temporal figure with an explicit COVID-19 co-mention panel/context and revised the legend to match the rendered panels.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Figure 2 with a two-panel plot: nonmetro nonadjacent IRRs and highest-SVI-quartile IRRs, using shorter scenario labels and larger readable axes.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the main manuscript DOCX with one figure per page, caption immediately following each figure, and whitespace-trimmed map images to reduce dead space and avoid cramped figure placement.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a dedicated Methods subsection explaining why direct county age-standardization was not used, and clarified that all primary county models adjust for county percentage aged &gt;=65 years and percentage male.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Removed the confusing county-year exact-death sentence from the abstract and main manuscript summary so visible county-year deaths are not mistaken for total mortality.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R3-6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Tightened repetitive wording by replacing some repeated suppression-aware phrasing with interval-preserving, bounded, reconciliation, and data-visibility language while preserving the conservative scientific frame.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Expanded the supplement language and DOCX content so the full model table, interval results, descriptive context, merge exceptions, and geography notes are embedded rather than merely deferred to the repository.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R3-8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Revised cover-letter and availability wording to use reconciled CDC WONDER aggregate outputs rather than stronger validation language.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Round 2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and embedded Figures 1-4 in the main manuscript DOCX and supplied the same figure files in the package figures folder.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populated supplementary Tables S1-S10 in the supplement DOCX and supplied supporting CSV/XLSX files.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Revised the abstract to name the population-scaled residual allocation and interval model as the primary read, and clarified the uniform constant-mean allocation as total-preserving but exposure-ignoring.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a Table 4 footnote that yearly COVID co-mention intervals are suppression-bounded and midpoint sums need not equal the aggregate exactly.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Restored funding, conflicts, ethics, data/code availability, author contributions, and AI declaration blocks on the title page while retaining them in the main manuscript.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Round 1 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Reframed suppression scenarios into visible-only, residual-allocation total-preserving, constant-count stress-test, fixed-value stress-test, and interval-model tiers; added residual mean and constant mean scenario; revised abstract/results/discussion.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Embedded populated Tables 1-5 in the main manuscript DOCX and supplied CSV/XLSX copies.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Figure 4 with a 2019-2024 temporal/COVID context figure and corrected legend.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Introduction and Discussion comparison to Quick 2019, distinguishing Bayesian smoothing from reconciliation/bounding/interval methods.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m1/m2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Removed the orphan county-year exact-death abstract statistic and separated death counts from row counts.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Figure 2 with publication labels and legend stating 95% CIs on a log scale.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m4/m5/m10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methods limitations for alpha=1 working variance, interval model non-conditioning on the known marginal total, and unadjusted p-values/multiplicity.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m6/m9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Clarified map viewport/model inclusion and color-scale handling; regenerated Figure 1 with higher zero/missing contrast and hatching.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Audited residual allocation totals after [1,9] clipping; all residual allocation scenarios preserve 58,380 deaths.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vague VIF statement with maximum 2.92 for median household income/poverty component diagnostics.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Harmonized the corresponding author block to the full affiliation name.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Confirmed repository README and CITATION metadata identify Gregory Pierpoint; data/code statement names repository and DOI.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Author question 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Connecticut geography limitation statement noting no crosswalk correction and possible period comparability limitation.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Key Interpretive Change</w:t>
      </w:r>
    </w:p>
    <w:p>
      <w:r>
        <w:rPr>
          <w:rFonts w:ascii="Times New Roman" w:hAnsi="Times New Roman"/>
          <w:b w:val="0"/>
          <w:sz w:val="24"/>
        </w:rPr>
        <w:t>The revised manuscript no longer gives equal interpretive weight to fixed-value scenarios that do not respect the reconciled total. It distinguishes visible-only models, total-preserving residual allocations, a constant-count total-preserving stress test, non-total-preserving fixed-value stress tests, and interval-likelihood models. The main interpretive range is the residual-allocation/interval-model result; fixed-value results are retained to show sensitivity, not to claim a plausible recovered truth.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Package Completeness</w:t>
      </w:r>
    </w:p>
    <w:p>
      <w:r>
        <w:rPr>
          <w:rFonts w:ascii="Times New Roman" w:hAnsi="Times New Roman"/>
          <w:b w:val="0"/>
          <w:sz w:val="24"/>
        </w:rPr>
        <w:t>The main manuscript DOCX now contains populated Tables 1-5 and embedded Figures 1-4. Figure 4 has been replaced with a 2019-2024 temporal/COVID context figure. Figure 2 uses publication labels and explicitly reports 95% CIs on a log scale. Figure 1 has increased contrast and hatching for explicit-zero rows. The supplement DOCX contains populated Tables S1-S10 and embedded Figures S1-S3.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response_to_editorial_review.docx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