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Suppression-Aware County-Level Epilepsy and Status Epilepticus Mortality in the United States, 2019–2024</w:t>
      </w:r>
    </w:p>
    <w:p>
      <w:pPr>
        <w:pStyle w:val="Heading1"/>
      </w:pPr>
      <w:r>
        <w:rPr>
          <w:rFonts w:ascii="Times New Roman" w:hAnsi="Times New Roman"/>
          <w:b w:val="0"/>
          <w:sz w:val="24"/>
        </w:rPr>
        <w:t>Abstract</w:t>
      </w:r>
    </w:p>
    <w:p>
      <w:pPr>
        <w:pStyle w:val="Heading1"/>
      </w:pPr>
      <w:r>
        <w:rPr>
          <w:rFonts w:ascii="Times New Roman" w:hAnsi="Times New Roman"/>
          <w:b w:val="0"/>
          <w:sz w:val="24"/>
        </w:rPr>
        <w:t>Objective</w:t>
      </w:r>
    </w:p>
    <w:p>
      <w:r>
        <w:rPr>
          <w:rFonts w:ascii="Times New Roman" w:hAnsi="Times New Roman"/>
          <w:b w:val="0"/>
          <w:sz w:val="24"/>
        </w:rPr>
        <w:t>To quantify how CDC WONDER county-level small-cell suppression shapes national county-level analyses of epilepsy/status epilepticus-related mortality and to evaluate rurality-associated patterns using suppression-aware methods.</w:t>
      </w:r>
    </w:p>
    <w:p>
      <w:pPr>
        <w:pStyle w:val="Heading1"/>
      </w:pPr>
      <w:r>
        <w:rPr>
          <w:rFonts w:ascii="Times New Roman" w:hAnsi="Times New Roman"/>
          <w:b w:val="0"/>
          <w:sz w:val="24"/>
        </w:rPr>
        <w:t>Methods</w:t>
      </w:r>
    </w:p>
    <w:p>
      <w:r>
        <w:rPr>
          <w:rFonts w:ascii="Times New Roman" w:hAnsi="Times New Roman"/>
          <w:b w:val="0"/>
          <w:sz w:val="24"/>
        </w:rPr>
        <w:t>We analyzed CDC WONDER Multiple Cause of Death data for 2019-2024. The primary outcome was multiple-cause mortality with ICD-10 G40 (epilepsy) or G41 (status epilepticus) listed anywhere on the death certificate. County-period and county-year extracts were linked to county rurality, social vulnerability, age-structure, and sex-composition covariates. Suppressed county cells were preserved as 1-9 death intervals and were not treated as zero. Primary county models included standardized county percentages aged &gt;=65 years and male; direct county age standardization was not used because county age-stratified death cells are heavily suppressed. We compared observed-only models with fixed-value stress tests, total-preserving residual allocations, and interval-likelihood negative binomial models.</w:t>
      </w:r>
    </w:p>
    <w:p>
      <w:pPr>
        <w:pStyle w:val="Heading1"/>
      </w:pPr>
      <w:r>
        <w:rPr>
          <w:rFonts w:ascii="Times New Roman" w:hAnsi="Times New Roman"/>
          <w:b w:val="0"/>
          <w:sz w:val="24"/>
        </w:rPr>
        <w:t>Results</w:t>
      </w:r>
    </w:p>
    <w:p>
      <w:r>
        <w:rPr>
          <w:rFonts w:ascii="Times New Roman" w:hAnsi="Times New Roman"/>
          <w:b w:val="0"/>
          <w:sz w:val="24"/>
        </w:rPr>
        <w:t>National multiple-cause G40/G41 mortality totaled 58,380 deaths. The county-period extract comprised 1,085 counties with exact counts (51,388 deaths), 1,722 suppressed county rows (1-9 deaths each), and 335 explicit-zero rows. The reconciled residual within suppressed counties was 6,992 deaths, or ≈4.1 deaths per suppressed county. In the rurality plus SVI model, nonmetro nonadjacent IRRs were 0.97 for observed exact-positive counties and 0.91 after adding explicit zero counties. The population-scaled residual allocation, treated as the primary total-preserving scenario, estimated an IRR of 1.04, and the interval-likelihood model estimated 1.07 with wide approximate uncertainty. Other total-preserving residual allocations ranged from 0.97 to 1.13. A total-preserving but exposure-ignoring uniform allocation estimated 1.24, showing that the within-suppressed distribution matters; high fixed-value stress tests were interpreted as non-primary stress tests. COVID-19 co-mention totaled 1,936 deaths, and underlying-cause G40/G41 mortality totaled 22,306 deaths.</w:t>
      </w:r>
    </w:p>
    <w:p>
      <w:pPr>
        <w:pStyle w:val="Heading1"/>
      </w:pPr>
      <w:r>
        <w:rPr>
          <w:rFonts w:ascii="Times New Roman" w:hAnsi="Times New Roman"/>
          <w:b w:val="0"/>
          <w:sz w:val="24"/>
        </w:rPr>
        <w:t>Conclusion</w:t>
      </w:r>
    </w:p>
    <w:p>
      <w:r>
        <w:rPr>
          <w:rFonts w:ascii="Times New Roman" w:hAnsi="Times New Roman"/>
          <w:b w:val="0"/>
          <w:sz w:val="24"/>
        </w:rPr>
        <w:t>County-level epilepsy/status epilepticus mortality inference in CDC WONDER is strongly shaped by outcome-dependent suppression. Preserving suppressed cells as intervals, reconciling county extracts to aggregate totals, and separating total-preserving allocations from fixed-value stress tests provide a more transparent framework for county-level mortality surveillance.</w:t>
      </w:r>
    </w:p>
    <w:p>
      <w:pPr>
        <w:pStyle w:val="Heading1"/>
      </w:pPr>
      <w:r>
        <w:rPr>
          <w:rFonts w:ascii="Times New Roman" w:hAnsi="Times New Roman"/>
          <w:b w:val="0"/>
          <w:sz w:val="24"/>
        </w:rPr>
        <w:t>Keywords</w:t>
      </w:r>
    </w:p>
    <w:p>
      <w:r>
        <w:rPr>
          <w:rFonts w:ascii="Times New Roman" w:hAnsi="Times New Roman"/>
          <w:b w:val="0"/>
          <w:sz w:val="24"/>
        </w:rPr>
        <w:t>Epilepsy; status epilepticus; mortality; CDC WONDER; small-cell suppression; rural health; ecological study.</w:t>
      </w:r>
    </w:p>
    <w:p>
      <w:pPr>
        <w:pStyle w:val="Heading1"/>
      </w:pPr>
      <w:r>
        <w:rPr>
          <w:rFonts w:ascii="Times New Roman" w:hAnsi="Times New Roman"/>
          <w:b w:val="0"/>
          <w:sz w:val="24"/>
        </w:rPr>
        <w:t>Introduction</w:t>
      </w:r>
    </w:p>
    <w:p>
      <w:r>
        <w:rPr>
          <w:rFonts w:ascii="Times New Roman" w:hAnsi="Times New Roman"/>
          <w:b w:val="0"/>
          <w:sz w:val="24"/>
        </w:rP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rPr>
          <w:rFonts w:ascii="Times New Roman" w:hAnsi="Times New Roman"/>
          <w:b w:val="0"/>
          <w:sz w:val="24"/>
        </w:rP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rPr>
          <w:rFonts w:ascii="Times New Roman" w:hAnsi="Times New Roman"/>
          <w:b w:val="0"/>
          <w:sz w:val="24"/>
        </w:rP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rPr>
          <w:rFonts w:ascii="Times New Roman" w:hAnsi="Times New Roman"/>
          <w:b w:val="0"/>
          <w:sz w:val="24"/>
        </w:rPr>
        <w:t>Prior work has addressed closely related censoring problems in CDC WONDER. Quick modeled county-level mortality rates from highly censored WONDER data using a hierarchical Bayesian framework that borrows strength across counties to produce smoothed estimates. The present study is complementary rather than duplicative: it emphasizes transparent reconciliation to known aggregate totals, bias-bounding, and interval representation instead of attempting to recover a single best county count for every suppressed cell. The trade-off is deliberate. Hierarchical smoothing can improve precision when the model is accepted, whereas the present workflow foregrounds assumption visibility and sensitivity for readers who need to understand how much the conclusion depends on hidden cells.</w:t>
      </w:r>
    </w:p>
    <w:p>
      <w:r>
        <w:rPr>
          <w:rFonts w:ascii="Times New Roman" w:hAnsi="Times New Roman"/>
          <w:b w:val="0"/>
          <w:sz w:val="24"/>
        </w:rPr>
        <w:t>This study uses an interval-preserving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atlas of data visibility and a methodological caution for county-level WONDER mortality research.</w:t>
      </w:r>
    </w:p>
    <w:p>
      <w:r>
        <w:rPr>
          <w:rFonts w:ascii="Times New Roman" w:hAnsi="Times New Roman"/>
          <w:b w:val="0"/>
          <w:sz w:val="24"/>
        </w:rPr>
        <w:t>The aims were:</w:t>
      </w:r>
    </w:p>
    <w:p>
      <w:pPr>
        <w:pStyle w:val="ListNumber"/>
        <w:spacing w:line="480" w:lineRule="auto"/>
      </w:pPr>
      <w:r>
        <w:rPr>
          <w:rFonts w:ascii="Times New Roman" w:hAnsi="Times New Roman"/>
          <w:sz w:val="24"/>
        </w:rPr>
        <w:t>Describe county-level exact, suppressed, and zero mortality-count patterns for epilepsy/status epilepticus-related mortality.</w:t>
      </w:r>
    </w:p>
    <w:p>
      <w:pPr>
        <w:pStyle w:val="ListNumber"/>
        <w:spacing w:line="480" w:lineRule="auto"/>
      </w:pPr>
      <w:r>
        <w:rPr>
          <w:rFonts w:ascii="Times New Roman" w:hAnsi="Times New Roman"/>
          <w:sz w:val="24"/>
        </w:rPr>
        <w:t>Estimate rurality-associated mortality patterns under observed-only, fixed-value stress-test, residual-allocation, and interval-likelihood approaches.</w:t>
      </w:r>
    </w:p>
    <w:p>
      <w:pPr>
        <w:pStyle w:val="ListNumber"/>
        <w:spacing w:line="480" w:lineRule="auto"/>
      </w:pPr>
      <w:r>
        <w:rPr>
          <w:rFonts w:ascii="Times New Roman" w:hAnsi="Times New Roman"/>
          <w:sz w:val="24"/>
        </w:rPr>
        <w:t>Characterize temporal, urbanization, COVID co-mention, and underlying-cause sensitivity patterns.</w:t>
      </w:r>
    </w:p>
    <w:p>
      <w:pPr>
        <w:pStyle w:val="ListNumber"/>
        <w:spacing w:line="480" w:lineRule="auto"/>
      </w:pPr>
      <w:r>
        <w:rPr>
          <w:rFonts w:ascii="Times New Roman" w:hAnsi="Times New Roman"/>
          <w:sz w:val="24"/>
        </w:rPr>
        <w:t>Produce a bounded geographic atlas to guide interpretation of county-level epilepsy mortality surveillance.</w:t>
      </w:r>
    </w:p>
    <w:p>
      <w:pPr>
        <w:pStyle w:val="Heading1"/>
      </w:pPr>
      <w:r>
        <w:rPr>
          <w:rFonts w:ascii="Times New Roman" w:hAnsi="Times New Roman"/>
          <w:b w:val="0"/>
          <w:sz w:val="24"/>
        </w:rPr>
        <w:t>Methods</w:t>
      </w:r>
    </w:p>
    <w:p>
      <w:pPr>
        <w:pStyle w:val="Heading2"/>
      </w:pPr>
      <w:r>
        <w:rPr>
          <w:rFonts w:ascii="Times New Roman" w:hAnsi="Times New Roman"/>
          <w:b w:val="0"/>
          <w:sz w:val="24"/>
        </w:rPr>
        <w:t>Study Design And Data Sources</w:t>
      </w:r>
    </w:p>
    <w:p>
      <w:r>
        <w:rPr>
          <w:rFonts w:ascii="Times New Roman" w:hAnsi="Times New Roman"/>
          <w:b w:val="0"/>
          <w:sz w:val="24"/>
        </w:rP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included CDC/ATSDR Social Vulnerability Index 2022, U.S. Department of Agriculture Rural-Urban Continuum Codes 2023, National Center for Health Statistics 2023 urban-rural classification, and American Community Survey 2019-2023 county variables.</w:t>
      </w:r>
    </w:p>
    <w:p>
      <w:pPr>
        <w:pStyle w:val="Heading2"/>
      </w:pPr>
      <w:r>
        <w:rPr>
          <w:rFonts w:ascii="Times New Roman" w:hAnsi="Times New Roman"/>
          <w:b w:val="0"/>
          <w:sz w:val="24"/>
        </w:rPr>
        <w:t>Case Definition</w:t>
      </w:r>
    </w:p>
    <w:p>
      <w:r>
        <w:rPr>
          <w:rFonts w:ascii="Times New Roman" w:hAnsi="Times New Roman"/>
          <w:b w:val="0"/>
          <w:sz w:val="24"/>
        </w:rPr>
        <w:t>The primary outcome was multiple-cause mortality with ICD-10 G40 or G41 listed anywhere on the death certificate. The confirmed CDC WONDER cause syntax was G40 (Epilepsy) and G41 (Status epilepticus). The secondary sensitivity outcome was underlying-cause mortality with ICD-10 G40 or G41. COVID-19 co-mention analyses used U07.1 (COVID-19) in the second multiple-cause box. Multiple-cause mortality is interpreted as epilepsy/status epilepticus-related mortality mention, not as definitive attribution of death to epilepsy or status epilepticus.</w:t>
      </w:r>
    </w:p>
    <w:p>
      <w:pPr>
        <w:pStyle w:val="Heading2"/>
      </w:pPr>
      <w:r>
        <w:rPr>
          <w:rFonts w:ascii="Times New Roman" w:hAnsi="Times New Roman"/>
          <w:b w:val="0"/>
          <w:sz w:val="24"/>
        </w:rPr>
        <w:t>CDC WONDER Extraction And Reconciliation</w:t>
      </w:r>
    </w:p>
    <w:p>
      <w:r>
        <w:rPr>
          <w:rFonts w:ascii="Times New Roman" w:hAnsi="Times New Roman"/>
          <w:b w:val="0"/>
          <w:sz w:val="24"/>
        </w:rPr>
        <w:t>The analysis used the reconciled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Q010 provided urbanization-year multiple-cause G40/G41 and U07.1 COVID-19 co-mention. Q011, Q012, and Q014 provided underlying-cause sensitivity outputs.</w:t>
      </w:r>
    </w:p>
    <w:p>
      <w:r>
        <w:rPr>
          <w:rFonts w:ascii="Times New Roman" w:hAnsi="Times New Roman"/>
          <w:b w:val="0"/>
          <w:sz w:val="24"/>
        </w:rPr>
        <w:t>The extraction reconciliation confirmed that Q001, Q003, Q004, and Q005 agreed at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2"/>
      </w:pPr>
      <w:r>
        <w:rPr>
          <w:rFonts w:ascii="Times New Roman" w:hAnsi="Times New Roman"/>
          <w:b w:val="0"/>
          <w:sz w:val="24"/>
        </w:rPr>
        <w:t>Suppression Status Definitions</w:t>
      </w:r>
    </w:p>
    <w:p>
      <w:r>
        <w:rPr>
          <w:rFonts w:ascii="Times New Roman" w:hAnsi="Times New Roman"/>
          <w:b w:val="0"/>
          <w:sz w:val="24"/>
        </w:rPr>
        <w:t>County death counts were coded as exact, suppressed_1_9, zero, missing/unreturned, aggregate total, or invalid noncounty. Exact cells were coded as [death, death]. Suppressed cells were coded as [1, 9] with midpoint 5 for descriptive summaries. Explicit zero cells were coded as [0, 0]. Suppressed cells were not treated as zero. Missing or unreturned cells were not treated as zero. Aggregate total rows were retained for reconciliation but excluded from county models.</w:t>
      </w:r>
    </w:p>
    <w:p>
      <w:pPr>
        <w:pStyle w:val="Heading2"/>
      </w:pPr>
      <w:r>
        <w:rPr>
          <w:rFonts w:ascii="Times New Roman" w:hAnsi="Times New Roman"/>
          <w:b w:val="0"/>
          <w:sz w:val="24"/>
        </w:rPr>
        <w:t>County Covariates And Rurality Measures</w:t>
      </w:r>
    </w:p>
    <w:p>
      <w:r>
        <w:rPr>
          <w:rFonts w:ascii="Times New Roman" w:hAnsi="Times New Roman"/>
          <w:b w:val="0"/>
          <w:sz w:val="24"/>
        </w:rPr>
        <w:t>County FIPS codes were preserved as 5-character strings. The county merge included 3,142 WONDER Q001 county rows and 3,144 combined covariate county rows. The FIPS merge matched 3,131 counties, leaving 11 WONDER counties without covariates and 13 covariate counties without WONDER Q001 rows. Alaska, Hawaii, and the District of Columbia were retained in analytic county files where present; territories were not present in the Q001 analytic county set.</w:t>
      </w:r>
    </w:p>
    <w:p>
      <w:r>
        <w:rPr>
          <w:rFonts w:ascii="Times New Roman" w:hAnsi="Times New Roman"/>
          <w:b w:val="0"/>
          <w:sz w:val="24"/>
        </w:rPr>
        <w:t>The primary collapsed RUCC rurality variable used metro_large (RUCC 1), metro_other (RUCC 2-3), nonmetro_adjacent (RUCC 4, 6, 8), and nonmetro_nonadjacent (RUCC 5, 7, 9). Sensitivity rurality definitions included binary RUCC 1-3 versus 4-9 and NCHS six-level urban-rural classification.</w:t>
      </w:r>
    </w:p>
    <w:p>
      <w:pPr>
        <w:pStyle w:val="Heading2"/>
      </w:pPr>
      <w:r>
        <w:rPr>
          <w:rFonts w:ascii="Times New Roman" w:hAnsi="Times New Roman"/>
          <w:b w:val="0"/>
          <w:sz w:val="24"/>
        </w:rPr>
        <w:t>Social Vulnerability Covariates</w:t>
      </w:r>
    </w:p>
    <w:p>
      <w:r>
        <w:rPr>
          <w:rFonts w:ascii="Times New Roman" w:hAnsi="Times New Roman"/>
          <w:b w:val="0"/>
          <w:sz w:val="24"/>
        </w:rP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with a maximum of 2.92 for median household income and poverty-related component diagnostics (Table S4).</w:t>
      </w:r>
    </w:p>
    <w:p>
      <w:pPr>
        <w:pStyle w:val="Heading2"/>
      </w:pPr>
      <w:r>
        <w:rPr>
          <w:rFonts w:ascii="Times New Roman" w:hAnsi="Times New Roman"/>
          <w:b w:val="0"/>
          <w:sz w:val="24"/>
        </w:rPr>
        <w:t>Age Structure And Standardization</w:t>
      </w:r>
    </w:p>
    <w:p>
      <w:r>
        <w:rPr>
          <w:rFonts w:ascii="Times New Roman" w:hAnsi="Times New Roman"/>
          <w:b w:val="0"/>
          <w:sz w:val="24"/>
        </w:rPr>
        <w:t>Age structure is central to mortality interpretation and is correlated with rurality. Direct county-level age-standardized rates were not used as the primary outcome because the county-by-age death strata for this uncommon outcome are heavily affected by CDC WONDER small-cell suppression; treating those suppressed age strata as zero or as fully observed would reintroduce the same visibility bias the study was designed to avoid. Instead, all primary county-period rurality and SVI count models included standardized county percentage aged &gt;=65 years and standardized county percentage male, with log person-years as the offset. Age-by-urbanization summaries are reported descriptively in the supplement to show population-structure context, but they are not presented as recovered person-level or county-age-standardized estimates.</w:t>
      </w:r>
    </w:p>
    <w:p>
      <w:pPr>
        <w:pStyle w:val="Heading2"/>
      </w:pPr>
      <w:r>
        <w:rPr>
          <w:rFonts w:ascii="Times New Roman" w:hAnsi="Times New Roman"/>
          <w:b w:val="0"/>
          <w:sz w:val="24"/>
        </w:rPr>
        <w:t>Bias-Bounding Analyses</w:t>
      </w:r>
    </w:p>
    <w:p>
      <w:r>
        <w:rPr>
          <w:rFonts w:ascii="Times New Roman" w:hAnsi="Times New Roman"/>
          <w:b w:val="0"/>
          <w:sz w:val="24"/>
        </w:rPr>
        <w:t>County-period models used a count-model framework with log person-years as the offset. Scenarios were tiered as visible-only analyses, fixed-value stress tests, total-preserving residual allocations, and interval-likelihood models. Visible-only analyses either retained exact positive counties only or added explicit zero counties. Fixed-value stress tests assigned suppressed cells to a constant value; these include suppressed=1, suppressed=5, suppressed=9, and a constant mean assignment of 4.06 deaths per suppressed row. The constant mean preserves the reconciled total but remains a distributional stress test because it gives the same hidden count to low- and high-exposure suppressed counties. Suppressed=5 and suppressed=9 exceed the known reconciled total and are therefore interpreted only as extreme stress tests, not plausible imputations.</w:t>
      </w:r>
    </w:p>
    <w:p>
      <w:r>
        <w:rPr>
          <w:rFonts w:ascii="Times New Roman" w:hAnsi="Times New Roman"/>
          <w:b w:val="0"/>
          <w:sz w:val="24"/>
        </w:rPr>
        <w:t>The residual allocation used the difference between the Q001 total row and the exact county death sum. This residual was 6,992 deaths across 1,722 suppressed counties. Population-scaled, conservative anti-rural, and pro-rural residual allocations were constrained to the 1-9 death range with an iterative water-filling allocator. After clipping, all three residual allocation scenarios still summed exactly to 58,380 deaths.</w:t>
      </w:r>
    </w:p>
    <w:p>
      <w:r>
        <w:rPr>
          <w:rFonts w:ascii="Times New Roman" w:hAnsi="Times New Roman"/>
          <w:b w:val="0"/>
          <w:sz w:val="24"/>
        </w:rPr>
        <w:t>Bias-bounding generalized linear models used a negative-binomial mean model with alpha fixed at 1 and robust sandwich standard errors as a stable common working variance specification across scenarios. Pearson ratios from the fitted models and the interval model's smaller dispersion estimate indicate that alpha=1 is conservative as a variance assumption. The primary interpretation therefore rests on scenario-specific IRRs and bounds rather than on unadjusted p-values.</w:t>
      </w:r>
    </w:p>
    <w:p>
      <w:pPr>
        <w:pStyle w:val="Heading2"/>
      </w:pPr>
      <w:r>
        <w:rPr>
          <w:rFonts w:ascii="Times New Roman" w:hAnsi="Times New Roman"/>
          <w:b w:val="0"/>
          <w:sz w:val="24"/>
        </w:rPr>
        <w:t>Interval-Likelihood Negative Binomial Model</w:t>
      </w:r>
    </w:p>
    <w:p>
      <w:r>
        <w:rPr>
          <w:rFonts w:ascii="Times New Roman" w:hAnsi="Times New Roman"/>
          <w:b w:val="0"/>
          <w:sz w:val="24"/>
        </w:rPr>
        <w:t>An interval-likelihood negative binomial model was attempted after bias-bounding analyses. Exact rows contributed P(Y = y), zero rows contributed P(Y = 0), and suppressed rows contributed P(1 &lt;= Y &lt;= 9), treated independently across counties. This specification does not impose the known suppressed-cell total of 6,992 deaths; the residual-allocation analyses use that marginal information directly. Approximate standard errors used optimizer inverse-Hessian estimates, so bias-bounding analyses remained the primary suppression-aware results when interval uncertainty was unstable.</w:t>
      </w:r>
    </w:p>
    <w:p>
      <w:pPr>
        <w:pStyle w:val="Heading2"/>
      </w:pPr>
      <w:r>
        <w:rPr>
          <w:rFonts w:ascii="Times New Roman" w:hAnsi="Times New Roman"/>
          <w:b w:val="0"/>
          <w:sz w:val="24"/>
        </w:rPr>
        <w:t>Multiplicity</w:t>
      </w:r>
    </w:p>
    <w:p>
      <w:r>
        <w:rPr>
          <w:rFonts w:ascii="Times New Roman" w:hAnsi="Times New Roman"/>
          <w:b w:val="0"/>
          <w:sz w:val="24"/>
        </w:rPr>
        <w:t>The scenario models were designed for sensitivity analysis and bounding, not for selecting statistically significant terms from many comparisons. P-values are reported descriptively, are not adjusted for multiple comparisons, and are not the basis for the main inference.</w:t>
      </w:r>
    </w:p>
    <w:p>
      <w:pPr>
        <w:pStyle w:val="Heading2"/>
      </w:pPr>
      <w:r>
        <w:rPr>
          <w:rFonts w:ascii="Times New Roman" w:hAnsi="Times New Roman"/>
          <w:b w:val="0"/>
          <w:sz w:val="24"/>
        </w:rPr>
        <w:t>Temporal, COVID Co-Mention, And Underlying-Cause Analyses</w:t>
      </w:r>
    </w:p>
    <w:p>
      <w:r>
        <w:rPr>
          <w:rFonts w:ascii="Times New Roman" w:hAnsi="Times New Roman"/>
          <w:b w:val="0"/>
          <w:sz w:val="24"/>
        </w:rP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2"/>
      </w:pPr>
      <w:r>
        <w:rPr>
          <w:rFonts w:ascii="Times New Roman" w:hAnsi="Times New Roman"/>
          <w:b w:val="0"/>
          <w:sz w:val="24"/>
        </w:rPr>
        <w:t>Mapping And Atlas Methods</w:t>
      </w:r>
    </w:p>
    <w:p>
      <w:r>
        <w:rPr>
          <w:rFonts w:ascii="Times New Roman" w:hAnsi="Times New Roman"/>
          <w:b w:val="0"/>
          <w:sz w:val="24"/>
        </w:rPr>
        <w:t>Maps used local county geometry copied from the prior feasibility project. Static maps display a contiguous-U.S. viewport for legibility; Alaska and Hawaii are excluded from the static map panels but retained in analytic files and models where present. The District of Columbia is retained. Continuous rate color scales use the 5th and 95th percentile of mapped nonmissing values for display, with out-of-range counties shown at the nearest color-scale endpoint. Map-ready CSV files retain all copied county rows. Connecticut county/county-equivalent warnings from CDC WONDER remain a geographic limitation; no crosswalk correction was applied.</w:t>
      </w:r>
    </w:p>
    <w:p>
      <w:pPr>
        <w:pStyle w:val="Heading2"/>
      </w:pPr>
      <w:r>
        <w:rPr>
          <w:rFonts w:ascii="Times New Roman" w:hAnsi="Times New Roman"/>
          <w:b w:val="0"/>
          <w:sz w:val="24"/>
        </w:rPr>
        <w:t>Statistical Software</w:t>
      </w:r>
    </w:p>
    <w:p>
      <w:r>
        <w:rPr>
          <w:rFonts w:ascii="Times New Roman" w:hAnsi="Times New Roman"/>
          <w:b w:val="0"/>
          <w:sz w:val="24"/>
        </w:rPr>
        <w:t>Analyses were performed with reproducible Python scripts archived in the public analysis repository. Modeling used pandas, NumPy, SciPy, statsmodels, matplotlib, and openpyxl where applicable. All tables and figures were generated from scripts rather than manual spreadsheet editing.</w:t>
      </w:r>
    </w:p>
    <w:p>
      <w:pPr>
        <w:pStyle w:val="Heading2"/>
      </w:pPr>
      <w:r>
        <w:rPr>
          <w:rFonts w:ascii="Times New Roman" w:hAnsi="Times New Roman"/>
          <w:b w:val="0"/>
          <w:sz w:val="24"/>
        </w:rPr>
        <w:t>Ethics</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Results</w:t>
      </w:r>
    </w:p>
    <w:p>
      <w:pPr>
        <w:pStyle w:val="Heading2"/>
      </w:pPr>
      <w:r>
        <w:rPr>
          <w:rFonts w:ascii="Times New Roman" w:hAnsi="Times New Roman"/>
          <w:b w:val="0"/>
          <w:sz w:val="24"/>
        </w:rPr>
        <w:t>Extraction Validation And Mortality Totals</w:t>
      </w:r>
    </w:p>
    <w:p>
      <w:r>
        <w:rPr>
          <w:rFonts w:ascii="Times New Roman" w:hAnsi="Times New Roman"/>
          <w:b w:val="0"/>
          <w:sz w:val="24"/>
        </w:rPr>
        <w:t>All Q001-Q015 exports were present, parsed, reconciled, and staged in the analysis repository with checksums. Q003 national-year multiple-cause G40/G41 mortality totaled 58,380 deaths from 2019-2024. Q001 county-period total row deaths also equaled 58,380, confirming reconciliation between the county-period and national-year extraction backbone. Q004 state-year and Q005 urbanization-year outputs reconciled exactly to Q003. Q010 COVID co-mention totaled 1,936 deaths and was bounded by Q005 by urbanization and year. Q012 and Q014 underlying-cause aggregate totals agreed at 22,306 deaths.</w:t>
      </w:r>
    </w:p>
    <w:p>
      <w:pPr>
        <w:pStyle w:val="Heading2"/>
      </w:pPr>
      <w:r>
        <w:rPr>
          <w:rFonts w:ascii="Times New Roman" w:hAnsi="Times New Roman"/>
          <w:b w:val="0"/>
          <w:sz w:val="24"/>
        </w:rPr>
        <w:t>County Suppression And Data Visibility Profile</w:t>
      </w:r>
    </w:p>
    <w:p>
      <w:r>
        <w:rPr>
          <w:rFonts w:ascii="Times New Roman" w:hAnsi="Times New Roman"/>
          <w:b w:val="0"/>
          <w:sz w:val="24"/>
        </w:rPr>
        <w:t>The Q001 county-period file contained 3,142 county rows. Among these, 1,085 counties had exact death counts, 1,722 were suppressed with 1-9 deaths, and 335 were explicit zero rows (Table 1). The exact county death sum was 51,388, leaving a residual of 6,992 deaths within the 1,722 suppressed counties - a mean of ≈4.1 deaths per suppressed county. Exact-count counties accounted for 1.75 billion person-years and were 30.2% nonmetro. Suppressed counties accounted for 226.8 million person-years and were 77.1% nonmetro. Explicit zero counties accounted for 11.0 million person-years and were 88.7% nonmetro.</w:t>
      </w:r>
    </w:p>
    <w:p>
      <w:pPr>
        <w:pStyle w:val="Heading2"/>
      </w:pPr>
      <w:r>
        <w:rPr>
          <w:rFonts w:ascii="Times New Roman" w:hAnsi="Times New Roman"/>
          <w:b w:val="0"/>
          <w:sz w:val="24"/>
        </w:rPr>
        <w:t>County Covariates And Suppression Status</w:t>
      </w:r>
    </w:p>
    <w:p>
      <w:r>
        <w:rPr>
          <w:rFonts w:ascii="Times New Roman" w:hAnsi="Times New Roman"/>
          <w:b w:val="0"/>
          <w:sz w:val="24"/>
        </w:rPr>
        <w:t>Mean SVI was 0.552 among exact-count counties, 0.496 among suppressed counties, and 0.352 among explicit zero counties (Table 1). Mean poverty was 13.3%, 15.1%, and 13.1%, respectively. Mean age 65 years or older was 18.2% among exact counties, 20.6% among suppressed counties, and 23.2% among explicit zero counties. These age-structure differences motivated including standardized county age 65 years or older and male-percentage covariates in the county count models. Bounded mortality rates by rurality and SVI category are shown in Table 2.</w:t>
      </w:r>
    </w:p>
    <w:p>
      <w:pPr>
        <w:pStyle w:val="Heading2"/>
      </w:pPr>
      <w:r>
        <w:rPr>
          <w:rFonts w:ascii="Times New Roman" w:hAnsi="Times New Roman"/>
          <w:b w:val="0"/>
          <w:sz w:val="24"/>
        </w:rPr>
        <w:t>Suppression-Aware Rurality And SVI Model Results</w:t>
      </w:r>
    </w:p>
    <w:p>
      <w:r>
        <w:rPr>
          <w:rFonts w:ascii="Times New Roman" w:hAnsi="Times New Roman"/>
          <w:b w:val="0"/>
          <w:sz w:val="24"/>
        </w:rPr>
        <w:t>Scenario tiering changed the interpretation of the rurality signal (Table 3; Figure 2). These rurality plus SVI models adjusted for county age structure and sex composition through standardized county percentage aged &gt;=65 years and percentage male. In the composite model, the nonmetro nonadjacent IRR was 0.97 (95% CI, 0.80-1.19) in the observed exact-positive model and 0.91 (95% CI, 0.78-1.06) after adding explicit zero counties. Assigning each suppressed cell to 1 death yielded an IRR of 0.98 (95% CI, 0.88-1.10) but fell 5,270 deaths short of the reconciled total.</w:t>
      </w:r>
    </w:p>
    <w:p>
      <w:r>
        <w:rPr>
          <w:rFonts w:ascii="Times New Roman" w:hAnsi="Times New Roman"/>
          <w:b w:val="0"/>
          <w:sz w:val="24"/>
        </w:rPr>
        <w:t>Among total-preserving residual allocations, the population-scaled residual allocation produced a nonmetro nonadjacent IRR of 1.04 (95% CI, 0.98-1.10), the conservative anti-rural allocation produced 0.97 (95% CI, 0.90-1.04), and the pro-rural allocation produced 1.13 (95% CI, 1.05-1.20). These residual-allocation scenarios preserve the reconciled total and define the primary bounded interpretation.</w:t>
      </w:r>
    </w:p>
    <w:p>
      <w:r>
        <w:rPr>
          <w:rFonts w:ascii="Times New Roman" w:hAnsi="Times New Roman"/>
          <w:b w:val="0"/>
          <w:sz w:val="24"/>
        </w:rPr>
        <w:t>The constant mean stress test assigned 4.06 deaths to every suppressed county, preserved the total, and yielded an IRR of 1.24 (95% CI, 1.14-1.36). This result is interpreted as a distributional stress test rather than a primary estimate because equal counts across all suppressed counties concentrate rate influence in lower-population suppressed counties. Suppressed=5 and suppressed=9 yielded IRRs of 1.29 and 1.42, respectively, but exceeded the reconciled total by 1,618 and 8,506 deaths. They are therefore retained only as extreme non-total-preserving stress tests.</w:t>
      </w:r>
    </w:p>
    <w:p>
      <w:pPr>
        <w:pStyle w:val="Heading2"/>
      </w:pPr>
      <w:r>
        <w:rPr>
          <w:rFonts w:ascii="Times New Roman" w:hAnsi="Times New Roman"/>
          <w:b w:val="0"/>
          <w:sz w:val="24"/>
        </w:rPr>
        <w:t>Interval-Likelihood Model Results</w:t>
      </w:r>
    </w:p>
    <w:p>
      <w:r>
        <w:rPr>
          <w:rFonts w:ascii="Times New Roman" w:hAnsi="Times New Roman"/>
          <w:b w:val="0"/>
          <w:sz w:val="24"/>
        </w:rP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suppression-sensitive classification.</w:t>
      </w:r>
    </w:p>
    <w:p>
      <w:pPr>
        <w:pStyle w:val="Heading2"/>
      </w:pPr>
      <w:r>
        <w:rPr>
          <w:rFonts w:ascii="Times New Roman" w:hAnsi="Times New Roman"/>
          <w:b w:val="0"/>
          <w:sz w:val="24"/>
        </w:rPr>
        <w:t>Temporal, COVID Co-Mention, And Underlying-Cause Context</w:t>
      </w:r>
    </w:p>
    <w:p>
      <w:r>
        <w:rPr>
          <w:rFonts w:ascii="Times New Roman" w:hAnsi="Times New Roman"/>
          <w:b w:val="0"/>
          <w:sz w:val="24"/>
        </w:rPr>
        <w:t>National multiple-cause G40/G41 deaths increased from 7,583 in 2019 to 10,796 in 2024. The national crude rate increased from 2.31 per 100,000 in 2019 to 3.17 per 100,000 in 2024 (Table 4). COVID co-mention was concentrated in 2020-2022 and totaled 1,936 deaths across 2019-2024. Figure 4 displays urbanization-year MCOD death counts through 2024 and annual COVID co-mention context.</w:t>
      </w:r>
    </w:p>
    <w:p>
      <w:r>
        <w:rPr>
          <w:rFonts w:ascii="Times New Roman" w:hAnsi="Times New Roman"/>
          <w:b w:val="0"/>
          <w:sz w:val="24"/>
        </w:rPr>
        <w:t>Underlying-cause G40/G41 mortality totaled 22,306 deaths, substantially lower than the multiple-cause total of 58,380 (Table 5).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2"/>
      </w:pPr>
      <w:r>
        <w:rPr>
          <w:rFonts w:ascii="Times New Roman" w:hAnsi="Times New Roman"/>
          <w:b w:val="0"/>
          <w:sz w:val="24"/>
        </w:rPr>
        <w:t>Geographic Atlas Findings</w:t>
      </w:r>
    </w:p>
    <w:p>
      <w:r>
        <w:rPr>
          <w:rFonts w:ascii="Times New Roman" w:hAnsi="Times New Roman"/>
          <w:b w:val="0"/>
          <w:sz w:val="24"/>
        </w:rPr>
        <w:t>The atlas demonstrates the geographic structure of data visibility. The main county suppression map distinguishes exact, suppressed, and explicit zero counties with enhanced gray contrast and hatching for zero and missing categories (Figure 1). Exact-county rate maps show observed mortality only where counts were visible, while residual-allocation maps display one bounded approach to assigning hidden deaths within suppressed intervals (Figure 3). The atlas is intended to guide interpretation, not to imply that a single mapped rate is the recovered truth for suppressed counties.</w:t>
      </w:r>
    </w:p>
    <w:p>
      <w:pPr>
        <w:pStyle w:val="Heading1"/>
      </w:pPr>
      <w:r>
        <w:rPr>
          <w:rFonts w:ascii="Times New Roman" w:hAnsi="Times New Roman"/>
          <w:b w:val="0"/>
          <w:sz w:val="24"/>
        </w:rPr>
        <w:t>Discussion</w:t>
      </w:r>
    </w:p>
    <w:p>
      <w:pPr>
        <w:pStyle w:val="Heading2"/>
      </w:pPr>
      <w:r>
        <w:rPr>
          <w:rFonts w:ascii="Times New Roman" w:hAnsi="Times New Roman"/>
          <w:b w:val="0"/>
          <w:sz w:val="24"/>
        </w:rPr>
        <w:t>Principal Findings</w:t>
      </w:r>
    </w:p>
    <w:p>
      <w:r>
        <w:rPr>
          <w:rFonts w:ascii="Times New Roman" w:hAnsi="Times New Roman"/>
          <w:b w:val="0"/>
          <w:sz w:val="24"/>
        </w:rP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rPr>
          <w:rFonts w:ascii="Times New Roman" w:hAnsi="Times New Roman"/>
          <w:b w:val="0"/>
          <w:sz w:val="24"/>
        </w:rPr>
        <w:t>The rurality-associated mortality pattern was suppression-sensitive. Visible-only models did not support a stable elevated nonmetro nonadjacent estimate. Residual-allocation scenarios that preserved the reconciled total placed the nonmetro nonadjacent IRR in a bounded range of 0.97-1.13, while interval-likelihood models estimated approximately 1.07 with wide uncertainty. Larger estimates arose under constant-count or high fixed-value stress tests, especially scenarios that assign similar hidden counts to many lower-population suppressed counties or exceed the known total. The appropriate interpretation is not that rurality was definitively associated with higher epilepsy/status epilepticus-related mortality; rather, county-level inference depends strongly on how outcome-dependent suppression is handled.</w:t>
      </w:r>
    </w:p>
    <w:p>
      <w:pPr>
        <w:pStyle w:val="Heading2"/>
      </w:pPr>
      <w:r>
        <w:rPr>
          <w:rFonts w:ascii="Times New Roman" w:hAnsi="Times New Roman"/>
          <w:b w:val="0"/>
          <w:sz w:val="24"/>
        </w:rPr>
        <w:t>Interpretation Relative To Prior Censored-WONDER Methods</w:t>
      </w:r>
    </w:p>
    <w:p>
      <w:r>
        <w:rPr>
          <w:rFonts w:ascii="Times New Roman" w:hAnsi="Times New Roman"/>
          <w:b w:val="0"/>
          <w:sz w:val="24"/>
        </w:rPr>
        <w:t>This study is most directly related to prior work modeling highly censored CDC WONDER county mortality data. Quick's hierarchical Bayesian approach aims to estimate county rates by borrowing strength across geography and covariates, producing smoothed point estimates under an explicit model. The present framework serves a different use case: it preserves the observed reconciliation structure, exposes the residual death mass, and asks whether substantive conclusions survive transparent scenario bounds. The advantage is interpretability and assumption visibility; the cost is less precision and no claim to recover the true count in every suppressed county. For investigators seeking county estimates for downstream mapping or prediction, hierarchical modeling may be preferable. For investigators testing whether a county-level conclusion is robust to suppression, reconciliation and bounding provide an assumption-light starting point.</w:t>
      </w:r>
    </w:p>
    <w:p>
      <w:pPr>
        <w:pStyle w:val="Heading2"/>
      </w:pPr>
      <w:r>
        <w:rPr>
          <w:rFonts w:ascii="Times New Roman" w:hAnsi="Times New Roman"/>
          <w:b w:val="0"/>
          <w:sz w:val="24"/>
        </w:rPr>
        <w:t>What Observed-Only Analysis Would Have Missed Or Overstated</w:t>
      </w:r>
    </w:p>
    <w:p>
      <w:r>
        <w:rPr>
          <w:rFonts w:ascii="Times New Roman" w:hAnsi="Times New Roman"/>
          <w:b w:val="0"/>
          <w:sz w:val="24"/>
        </w:rP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2"/>
      </w:pPr>
      <w:r>
        <w:rPr>
          <w:rFonts w:ascii="Times New Roman" w:hAnsi="Times New Roman"/>
          <w:b w:val="0"/>
          <w:sz w:val="24"/>
        </w:rPr>
        <w:t>Temporal And COVID Context</w:t>
      </w:r>
    </w:p>
    <w:p>
      <w:r>
        <w:rPr>
          <w:rFonts w:ascii="Times New Roman" w:hAnsi="Times New Roman"/>
          <w:b w:val="0"/>
          <w:sz w:val="24"/>
        </w:rP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2"/>
      </w:pPr>
      <w:r>
        <w:rPr>
          <w:rFonts w:ascii="Times New Roman" w:hAnsi="Times New Roman"/>
          <w:b w:val="0"/>
          <w:sz w:val="24"/>
        </w:rPr>
        <w:t>Underlying-Cause Sensitivity</w:t>
      </w:r>
    </w:p>
    <w:p>
      <w:r>
        <w:rPr>
          <w:rFonts w:ascii="Times New Roman" w:hAnsi="Times New Roman"/>
          <w:b w:val="0"/>
          <w:sz w:val="24"/>
        </w:rP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2"/>
      </w:pPr>
      <w:r>
        <w:rPr>
          <w:rFonts w:ascii="Times New Roman" w:hAnsi="Times New Roman"/>
          <w:b w:val="0"/>
          <w:sz w:val="24"/>
        </w:rPr>
        <w:t>Implications For CDC WONDER County-Level Research</w:t>
      </w:r>
    </w:p>
    <w:p>
      <w:r>
        <w:rPr>
          <w:rFonts w:ascii="Times New Roman" w:hAnsi="Times New Roman"/>
          <w:b w:val="0"/>
          <w:sz w:val="24"/>
        </w:rP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 Fixed-value imputations should be labeled according to whether they preserve known aggregate totals, and distributional assumptions should be stated rather than hidden inside a single sensitivity table.</w:t>
      </w:r>
    </w:p>
    <w:p>
      <w:pPr>
        <w:pStyle w:val="Heading2"/>
      </w:pPr>
      <w:r>
        <w:rPr>
          <w:rFonts w:ascii="Times New Roman" w:hAnsi="Times New Roman"/>
          <w:b w:val="0"/>
          <w:sz w:val="24"/>
        </w:rPr>
        <w:t>Strengths</w:t>
      </w:r>
    </w:p>
    <w:p>
      <w:r>
        <w:rPr>
          <w:rFonts w:ascii="Times New Roman" w:hAnsi="Times New Roman"/>
          <w:b w:val="0"/>
          <w:sz w:val="24"/>
        </w:rPr>
        <w:t>Strengths include a reconciled Q001-Q015 extraction set, agreement across county, national, state, and urbanization outputs, preservation of suppressed and zero cells as distinct statuses, explicit bias-bounding scenarios, age/sex covariate adjustment in county models, an interval-likelihood sensitivity model, UCD and COVID co-mention context, and a national atlas of data visibility and bounded mortality patterns.</w:t>
      </w:r>
    </w:p>
    <w:p>
      <w:pPr>
        <w:pStyle w:val="Heading1"/>
      </w:pPr>
      <w:r>
        <w:rPr>
          <w:rFonts w:ascii="Times New Roman" w:hAnsi="Times New Roman"/>
          <w:b w:val="0"/>
          <w:sz w:val="24"/>
        </w:rPr>
        <w:t>Limitations</w:t>
      </w:r>
    </w:p>
    <w:p>
      <w:r>
        <w:rPr>
          <w:rFonts w:ascii="Times New Roman" w:hAnsi="Times New Roman"/>
          <w:b w:val="0"/>
          <w:sz w:val="24"/>
        </w:rPr>
        <w:t>This was an ecological county-level analysis and does not support person-level inference. Multiple-cause mortality reflects death-certificate mention and not necessarily direct etiologic attribution. CDC WONDER suppression requires interval assumptions, and bounding cannot recover the true suppressed counts. Direct county-level age-standardized rates were not used as the primary estimand because county-by-age mortality strata are highly vulnerable to small-cell suppression; model-based age-structure adjustment with county percentage aged &gt;=65 years reduces but does not eliminate residual confounding by age. The interval-likelihood model treats suppressed counties independently and does not condition on the known suppressed-cell total; a constrained interval model could be more efficient and is an important future methodological extension. The fixed alpha=1 GLM specification is a robust working-variance approach for scenario contrasts, not a claim that alpha=1 is the best dispersion estimate.</w:t>
      </w:r>
    </w:p>
    <w:p>
      <w:r>
        <w:rPr>
          <w:rFonts w:ascii="Times New Roman" w:hAnsi="Times New Roman"/>
          <w:b w:val="0"/>
          <w:sz w:val="24"/>
        </w:rPr>
        <w:t>Death-certificate coding may vary by place, certifier, comorbidity, and time. COVID-era certification and mortality disruption may affect temporal patterns. County-level covariate timing differs across SVI, RUCC, NCHS, ACS, and mortality files. The Connecticut county/county-equivalent warning from CDC WONDER remains a limitation for county-level geography and rate interpretation; no crosswalk correction was applied, and the 2022 transition to planning regions could affect comparability for Connecticut county-equivalent units across the study period.</w:t>
      </w:r>
    </w:p>
    <w:p>
      <w:r>
        <w:rPr>
          <w:rFonts w:ascii="Times New Roman" w:hAnsi="Times New Roman"/>
          <w:b w:val="0"/>
          <w:sz w:val="24"/>
        </w:rPr>
        <w:t>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1"/>
      </w:pPr>
      <w:r>
        <w:rPr>
          <w:rFonts w:ascii="Times New Roman" w:hAnsi="Times New Roman"/>
          <w:b w:val="0"/>
          <w:sz w:val="24"/>
        </w:rPr>
        <w:t>Conclusions</w:t>
      </w:r>
    </w:p>
    <w:p>
      <w:r>
        <w:rPr>
          <w:rFonts w:ascii="Times New Roman" w:hAnsi="Times New Roman"/>
          <w:b w:val="0"/>
          <w:sz w:val="24"/>
        </w:rPr>
        <w:t>In this national county-level analysis of epilepsy/status epilepticus-related mortality, more than half of county-period rows were suppressed despite full reconciliation to national totals. Apparent rurality-associated mortality patterns were sensitive to hidden-cell assumptions even after model adjustment for county age structure and sex composition, and total-preserving residual allocations supported a cautious bounded interpretation rather than a conclusive rurality claim. Interval-preserving bounding and interval-likelihood approaches provide a more transparent framework for county-level mortality surveillance and for interpreting rural epilepsy/status epilepticus mortality patterns.</w:t>
      </w:r>
    </w:p>
    <w:p>
      <w:pPr>
        <w:pStyle w:val="Heading1"/>
      </w:pPr>
      <w:r>
        <w:rPr>
          <w:rFonts w:ascii="Times New Roman" w:hAnsi="Times New Roman"/>
          <w:b w:val="0"/>
          <w:sz w:val="24"/>
        </w:rPr>
        <w:t>Data Availability</w:t>
      </w:r>
    </w:p>
    <w:p>
      <w:r>
        <w:rPr>
          <w:rFonts w:ascii="Times New Roman" w:hAnsi="Times New Roman"/>
          <w:b w:val="0"/>
          <w:sz w:val="24"/>
        </w:rP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1"/>
      </w:pPr>
      <w:r>
        <w:rPr>
          <w:rFonts w:ascii="Times New Roman" w:hAnsi="Times New Roman"/>
          <w:b w:val="0"/>
          <w:sz w:val="24"/>
        </w:rPr>
        <w:t>Code Availability</w:t>
      </w:r>
    </w:p>
    <w:p>
      <w:r>
        <w:rPr>
          <w:rFonts w:ascii="Times New Roman" w:hAnsi="Times New Roman"/>
          <w:b w:val="0"/>
          <w:sz w:val="24"/>
        </w:rPr>
        <w:t>Analysis code used to import reconciled CDC WONDER aggregate outputs, construct interval-preserving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1"/>
      </w:pPr>
      <w:r>
        <w:rPr>
          <w:rFonts w:ascii="Times New Roman" w:hAnsi="Times New Roman"/>
          <w:b w:val="0"/>
          <w:sz w:val="24"/>
        </w:rPr>
        <w:t>Ethics Statement</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Funding</w:t>
      </w:r>
    </w:p>
    <w:p>
      <w:r>
        <w:rPr>
          <w:rFonts w:ascii="Times New Roman" w:hAnsi="Times New Roman"/>
          <w:b w:val="0"/>
          <w:sz w:val="24"/>
        </w:rPr>
        <w:t>No external funding was received for this work.</w:t>
      </w:r>
    </w:p>
    <w:p>
      <w:pPr>
        <w:pStyle w:val="Heading1"/>
      </w:pPr>
      <w:r>
        <w:rPr>
          <w:rFonts w:ascii="Times New Roman" w:hAnsi="Times New Roman"/>
          <w:b w:val="0"/>
          <w:sz w:val="24"/>
        </w:rPr>
        <w:t>Conflicts Of Interest</w:t>
      </w:r>
    </w:p>
    <w:p>
      <w:r>
        <w:rPr>
          <w:rFonts w:ascii="Times New Roman" w:hAnsi="Times New Roman"/>
          <w:b w:val="0"/>
          <w:sz w:val="24"/>
        </w:rPr>
        <w:t>The author declares no competing interests.</w:t>
      </w:r>
    </w:p>
    <w:p>
      <w:pPr>
        <w:pStyle w:val="Heading1"/>
      </w:pPr>
      <w:r>
        <w:rPr>
          <w:rFonts w:ascii="Times New Roman" w:hAnsi="Times New Roman"/>
          <w:b w:val="0"/>
          <w:sz w:val="24"/>
        </w:rPr>
        <w:t>Author Contributions</w:t>
      </w:r>
    </w:p>
    <w:p>
      <w:r>
        <w:rPr>
          <w:rFonts w:ascii="Times New Roman" w:hAnsi="Times New Roman"/>
          <w:b w:val="0"/>
          <w:sz w:val="24"/>
        </w:rPr>
        <w:t>Gregory Pierpoint: Conceptualization, Data curation, Formal analysis, Investigation, Methodology, Software, Validation, Visualization, Writing – original draft, Writing – review &amp; editing.</w:t>
      </w:r>
    </w:p>
    <w:p>
      <w:pPr>
        <w:pStyle w:val="Heading1"/>
      </w:pPr>
      <w:r>
        <w:rPr>
          <w:rFonts w:ascii="Times New Roman" w:hAnsi="Times New Roman"/>
          <w:b w:val="0"/>
          <w:sz w:val="24"/>
        </w:rPr>
        <w:t>Acknowledgments</w:t>
      </w:r>
    </w:p>
    <w:p>
      <w:r>
        <w:rPr>
          <w:rFonts w:ascii="Times New Roman" w:hAnsi="Times New Roman"/>
          <w:b w:val="0"/>
          <w:sz w:val="24"/>
        </w:rPr>
        <w:t>None.</w:t>
      </w:r>
    </w:p>
    <w:p>
      <w:pPr>
        <w:pStyle w:val="Heading1"/>
      </w:pPr>
      <w:r>
        <w:rPr>
          <w:rFonts w:ascii="Times New Roman" w:hAnsi="Times New Roman"/>
          <w:b w:val="0"/>
          <w:sz w:val="24"/>
        </w:rPr>
        <w:t>Declaration Of Generative AI And AI-Assisted Technologies In The Writing Process</w:t>
      </w:r>
    </w:p>
    <w:p>
      <w:r>
        <w:rPr>
          <w:rFonts w:ascii="Times New Roman" w:hAnsi="Times New Roman"/>
          <w:b w:val="0"/>
          <w:sz w:val="24"/>
        </w:rPr>
        <w:t>Generative AI tools were used to assist with code generation, analysis organization, drafting, editing, and quality-control checks. The author reviewed and verified the analysis, scientific interpretation, references, and manuscript content and is responsible for the final work.</w:t>
      </w:r>
    </w:p>
    <w:p>
      <w:pPr>
        <w:pStyle w:val="Heading1"/>
      </w:pPr>
      <w:r>
        <w:rPr>
          <w:rFonts w:ascii="Times New Roman" w:hAnsi="Times New Roman"/>
          <w:b w:val="0"/>
          <w:sz w:val="24"/>
        </w:rPr>
        <w:t>References</w:t>
      </w:r>
    </w:p>
    <w:p>
      <w:pPr>
        <w:pStyle w:val="ListNumber"/>
        <w:spacing w:line="480" w:lineRule="auto"/>
      </w:pPr>
      <w:r>
        <w:rPr>
          <w:rFonts w:ascii="Times New Roman" w:hAnsi="Times New Roman"/>
          <w:sz w:val="24"/>
        </w:rPr>
        <w:t>CDC WONDER Multiple Cause of Death, 2018-2024, Single Race database. Available from: https://wonder.cdc.gov/mcd-icd10-expanded.html</w:t>
      </w:r>
    </w:p>
    <w:p>
      <w:pPr>
        <w:pStyle w:val="ListNumber"/>
        <w:spacing w:line="480" w:lineRule="auto"/>
      </w:pPr>
      <w:r>
        <w:rPr>
          <w:rFonts w:ascii="Times New Roman" w:hAnsi="Times New Roman"/>
          <w:sz w:val="24"/>
        </w:rPr>
        <w:t>Centers for Disease Control and Prevention. Multiple Cause of Death 2018-2024 by Single Race: CDC WONDER help documentation. Available from: https://wonder.cdc.gov/wonder/help/mcd-expanded.html</w:t>
      </w:r>
    </w:p>
    <w:p>
      <w:pPr>
        <w:pStyle w:val="ListNumber"/>
        <w:spacing w:line="480" w:lineRule="auto"/>
      </w:pPr>
      <w:r>
        <w:rPr>
          <w:rFonts w:ascii="Times New Roman" w:hAnsi="Times New Roman"/>
          <w:sz w:val="24"/>
        </w:rPr>
        <w:t>CDC WONDER Underlying Cause of Death, 2018-2024, Single Race database. Available from: https://wonder.cdc.gov/ucd-icd10-expanded.html</w:t>
      </w:r>
    </w:p>
    <w:p>
      <w:pPr>
        <w:pStyle w:val="ListNumber"/>
        <w:spacing w:line="480" w:lineRule="auto"/>
      </w:pPr>
      <w:r>
        <w:rPr>
          <w:rFonts w:ascii="Times New Roman" w:hAnsi="Times New Roman"/>
          <w:sz w:val="24"/>
        </w:rPr>
        <w:t>Centers for Disease Control and Prevention/Agency for Toxic Substances and Disease Registry. CDC/ATSDR Social Vulnerability Index data and documentation. Available from: https://www.atsdr.cdc.gov/place-health/php/svi/svi-data-documentation-download.html</w:t>
      </w:r>
    </w:p>
    <w:p>
      <w:pPr>
        <w:pStyle w:val="ListNumber"/>
        <w:spacing w:line="480" w:lineRule="auto"/>
      </w:pPr>
      <w:r>
        <w:rPr>
          <w:rFonts w:ascii="Times New Roman" w:hAnsi="Times New Roman"/>
          <w:sz w:val="24"/>
        </w:rPr>
        <w:t>U.S. Department of Agriculture Economic Research Service. Rural-Urban Continuum Codes documentation. Available from: https://www.ers.usda.gov/data-products/rural-urban-continuum-codes/documentation</w:t>
      </w:r>
    </w:p>
    <w:p>
      <w:pPr>
        <w:pStyle w:val="ListNumber"/>
        <w:spacing w:line="480" w:lineRule="auto"/>
      </w:pPr>
      <w:r>
        <w:rPr>
          <w:rFonts w:ascii="Times New Roman" w:hAnsi="Times New Roman"/>
          <w:sz w:val="24"/>
        </w:rPr>
        <w:t>National Center for Health Statistics. Urban-Rural Classification Scheme for Counties. Available from: https://www.cdc.gov/nchs/data-analysis-tools/urban-rural.html</w:t>
      </w:r>
    </w:p>
    <w:p>
      <w:pPr>
        <w:pStyle w:val="ListNumber"/>
        <w:spacing w:line="480" w:lineRule="auto"/>
      </w:pPr>
      <w:r>
        <w:rPr>
          <w:rFonts w:ascii="Times New Roman" w:hAnsi="Times New Roman"/>
          <w:sz w:val="24"/>
        </w:rPr>
        <w:t>U.S. Census Bureau. American Community Survey 5-Year Data documentation. Available from: https://www.census.gov/data/developers/data-sets/acs-5year.html</w:t>
      </w:r>
    </w:p>
    <w:p>
      <w:pPr>
        <w:pStyle w:val="ListNumber"/>
        <w:spacing w:line="480" w:lineRule="auto"/>
      </w:pPr>
      <w:r>
        <w:rPr>
          <w:rFonts w:ascii="Times New Roman" w:hAnsi="Times New Roman"/>
          <w:sz w:val="24"/>
        </w:rPr>
        <w:t>Vandenbroucke JP, von Elm E, Altman DG, et al. Strengthening the Reporting of Observational Studies in Epidemiology: explanation and elaboration. PLoS Med. 2007;4:e297. Available from: https://pmc.ncbi.nlm.nih.gov/articles/PMC2034723/</w:t>
      </w:r>
    </w:p>
    <w:p>
      <w:pPr>
        <w:pStyle w:val="ListNumber"/>
        <w:spacing w:line="480" w:lineRule="auto"/>
      </w:pPr>
      <w:r>
        <w:rPr>
          <w:rFonts w:ascii="Times New Roman" w:hAnsi="Times New Roman"/>
          <w:sz w:val="24"/>
        </w:rPr>
        <w:t>STROBE Statement. STROBE checklists for observational studies. Available from: https://www.strobe-statement.org/checklists/</w:t>
      </w:r>
    </w:p>
    <w:p>
      <w:pPr>
        <w:pStyle w:val="ListNumber"/>
        <w:spacing w:line="480" w:lineRule="auto"/>
      </w:pPr>
      <w:r>
        <w:rPr>
          <w:rFonts w:ascii="Times New Roman" w:hAnsi="Times New Roman"/>
          <w:sz w:val="24"/>
        </w:rPr>
        <w:t>Elsevier. Generative AI policies for journals. Available from: https://www.elsevier.com/about/policies-and-standards/generative-ai-policies-for-journals</w:t>
      </w:r>
    </w:p>
    <w:p>
      <w:pPr>
        <w:pStyle w:val="ListNumber"/>
        <w:spacing w:line="480" w:lineRule="auto"/>
      </w:pPr>
      <w:r>
        <w:rPr>
          <w:rFonts w:ascii="Times New Roman" w:hAnsi="Times New Roman"/>
          <w:sz w:val="24"/>
        </w:rPr>
        <w:t>Pierpoint G. Suppression-Aware County-Level Epilepsy and Status Epilepticus Mortality in the United States, 2019–2024. Version 1.0.0. Zenodo. https://doi.org/10.5281/zenodo.20691623 Available from: https://doi.org/10.5281/zenodo.20691623</w:t>
      </w:r>
    </w:p>
    <w:p>
      <w:pPr>
        <w:pStyle w:val="ListNumber"/>
        <w:spacing w:line="480" w:lineRule="auto"/>
      </w:pPr>
      <w:r>
        <w:rPr>
          <w:rFonts w:ascii="Times New Roman" w:hAnsi="Times New Roman"/>
          <w:sz w:val="24"/>
        </w:rPr>
        <w:t>Quick H. Estimating County-Level Mortality Rates Using Highly Censored Data From CDC WONDER. Prev Chronic Dis. 2019;16:180441. doi:10.5888/pcd16.180441. Available from: https://www.cdc.gov/pcd/issues/2019/18_0441.htm</w:t>
      </w:r>
    </w:p>
    <w:p>
      <w:pPr>
        <w:pStyle w:val="ListNumber"/>
        <w:spacing w:line="480" w:lineRule="auto"/>
      </w:pPr>
      <w:r>
        <w:rPr>
          <w:rFonts w:ascii="Times New Roman" w:hAnsi="Times New Roman"/>
          <w:sz w:val="24"/>
        </w:rPr>
        <w:t>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pStyle w:val="ListNumber"/>
        <w:spacing w:line="480" w:lineRule="auto"/>
      </w:pPr>
      <w:r>
        <w:rPr>
          <w:rFonts w:ascii="Times New Roman" w:hAnsi="Times New Roman"/>
          <w:sz w:val="24"/>
        </w:rPr>
        <w:t>Tian N, Kobau R, Friedman D, Liu Y, Eke PI, Greenlund KJ. Mortality and mortality disparities among people with epilepsy in the United States, 2011-2021. Epilepsy Behav. 2024;155:109770. doi:10.1016/j.yebeh.2024.109770. Available from: https://pubmed.ncbi.nlm.nih.gov/38636143/</w:t>
      </w:r>
    </w:p>
    <w:p>
      <w:pPr>
        <w:pStyle w:val="ListNumber"/>
        <w:spacing w:line="480" w:lineRule="auto"/>
      </w:pPr>
      <w:r>
        <w:rPr>
          <w:rFonts w:ascii="Times New Roman" w:hAnsi="Times New Roman"/>
          <w:sz w:val="24"/>
        </w:rPr>
        <w:t>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pStyle w:val="ListNumber"/>
        <w:spacing w:line="480" w:lineRule="auto"/>
      </w:pPr>
      <w:r>
        <w:rPr>
          <w:rFonts w:ascii="Times New Roman" w:hAnsi="Times New Roman"/>
          <w:sz w:val="24"/>
        </w:rPr>
        <w:t>Iqbal J, Shafique MA, Rangwala BS, et al. Demographic and regional patterns of epilepsy-related mortality in the USA: insights from CDC WONDER data. Surg Neurol Int. 2024;15:450. doi:10.25259/SNI_592_2024. Available from: https://pubmed.ncbi.nlm.nih.gov/39777187/</w:t>
      </w:r>
    </w:p>
    <w:p>
      <w:pPr>
        <w:pStyle w:val="ListNumber"/>
        <w:spacing w:line="480" w:lineRule="auto"/>
      </w:pPr>
      <w:r>
        <w:rPr>
          <w:rFonts w:ascii="Times New Roman" w:hAnsi="Times New Roman"/>
          <w:sz w:val="24"/>
        </w:rPr>
        <w:t>Centers for Disease Control and Prevention. Reporting and Coding Deaths Due to COVID-19. Available from: https://www.cdc.gov/nchs/covid19/coding-and-reporting.htm</w:t>
      </w:r>
    </w:p>
    <w:p>
      <w:r>
        <w:br w:type="page"/>
      </w:r>
    </w:p>
    <w:p>
      <w:pPr>
        <w:pStyle w:val="Heading1"/>
      </w:pPr>
      <w:r>
        <w:rPr>
          <w:rFonts w:ascii="Times New Roman" w:hAnsi="Times New Roman"/>
          <w:b w:val="0"/>
          <w:sz w:val="24"/>
        </w:rPr>
        <w:t>Tables</w:t>
      </w:r>
    </w:p>
    <w:p>
      <w:pPr>
        <w:keepNext/>
      </w:pPr>
      <w:r>
        <w:rPr>
          <w:rFonts w:ascii="Times New Roman" w:hAnsi="Times New Roman"/>
          <w:b/>
          <w:sz w:val="22"/>
        </w:rPr>
        <w:t>Table 1. County characteristics by Q001 death-count status.</w:t>
      </w:r>
    </w:p>
    <w:tbl>
      <w:tblPr>
        <w:tblStyle w:val="TableGrid"/>
        <w:tblW w:type="auto" w:w="0"/>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40"/>
            <w:shd w:fill="E8EEF5"/>
            <w:vAlign w:val="center"/>
            <w:tcMar>
              <w:top w:w="80" w:type="dxa"/>
              <w:start w:w="80" w:type="dxa"/>
              <w:bottom w:w="80" w:type="dxa"/>
              <w:end w:w="80" w:type="dxa"/>
            </w:tcMar>
          </w:tcPr>
          <w:p>
            <w:pPr>
              <w:spacing w:line="240" w:lineRule="auto" w:after="0"/>
            </w:pPr>
            <w:r>
              <w:rPr>
                <w:rFonts w:ascii="Times New Roman" w:hAnsi="Times New Roman"/>
                <w:sz w:val="16"/>
              </w:rPr>
              <w:t>Death-count status</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Person-years, millions</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Exact deaths</w:t>
            </w:r>
          </w:p>
        </w:tc>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Death interval</w:t>
            </w:r>
          </w:p>
        </w:tc>
        <w:tc>
          <w:tcPr>
            <w:tcW w:type="dxa" w:w="1007"/>
            <w:shd w:fill="E8EEF5"/>
            <w:vAlign w:val="center"/>
            <w:tcMar>
              <w:top w:w="80" w:type="dxa"/>
              <w:start w:w="80" w:type="dxa"/>
              <w:bottom w:w="80" w:type="dxa"/>
              <w:end w:w="80" w:type="dxa"/>
            </w:tcMar>
          </w:tcPr>
          <w:p>
            <w:pPr>
              <w:spacing w:line="240" w:lineRule="auto" w:after="0"/>
            </w:pPr>
            <w:r>
              <w:rPr>
                <w:rFonts w:ascii="Times New Roman" w:hAnsi="Times New Roman"/>
                <w:sz w:val="16"/>
              </w:rPr>
              <w:t>Nonmetro,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Mean SVI</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Poverty,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Uninsured,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Age &gt;=65, %</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Exact</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1749.2</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51,388-51,388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30.2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0.552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8.5</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18.2</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Suppressed 1-9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226.8</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1,722-15,498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77.1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0.496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15.1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20.6</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Explicit zero</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88.7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0.352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23.2</w:t>
            </w:r>
          </w:p>
        </w:tc>
      </w:tr>
    </w:tbl>
    <w:p>
      <w:pPr>
        <w:spacing w:line="240" w:lineRule="auto" w:after="160"/>
      </w:pPr>
      <w:r>
        <w:rPr>
          <w:rFonts w:ascii="Times New Roman" w:hAnsi="Times New Roman"/>
          <w:sz w:val="18"/>
        </w:rPr>
        <w:t>Note. Person-years are 2019-2024 county-period person-years. Suppressed rows are positive 1-9 death intervals. Exact deaths are visible deaths only.</w:t>
      </w:r>
    </w:p>
    <w:p>
      <w:pPr>
        <w:keepNext/>
      </w:pPr>
      <w:r>
        <w:rPr>
          <w:rFonts w:ascii="Times New Roman" w:hAnsi="Times New Roman"/>
          <w:b/>
          <w:sz w:val="22"/>
        </w:rPr>
        <w:t>Table 2. Mortality totals and bounded rates by rurality and SVI category.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Rurality</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SVI</w:t>
            </w:r>
          </w:p>
        </w:tc>
        <w:tc>
          <w:tcPr>
            <w:tcW w:type="dxa" w:w="864"/>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Deaths lower-mid-upper</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Supp/zero rows</w:t>
            </w:r>
          </w:p>
        </w:tc>
        <w:tc>
          <w:tcPr>
            <w:tcW w:type="dxa" w:w="1872"/>
            <w:shd w:fill="E8EEF5"/>
            <w:vAlign w:val="center"/>
            <w:tcMar>
              <w:top w:w="80" w:type="dxa"/>
              <w:start w:w="80" w:type="dxa"/>
              <w:bottom w:w="80" w:type="dxa"/>
              <w:end w:w="80" w:type="dxa"/>
            </w:tcMar>
          </w:tcPr>
          <w:p>
            <w:pPr>
              <w:spacing w:line="240" w:lineRule="auto" w:after="0"/>
            </w:pPr>
            <w:r>
              <w:rPr>
                <w:rFonts w:ascii="Times New Roman" w:hAnsi="Times New Roman"/>
                <w:sz w:val="16"/>
              </w:rPr>
              <w:t>Rate lower-mid-upper</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156</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3,490-3,730-3,970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60/2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2.12-2.26-2.41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120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5,983-6,123-6,263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35/1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2.38-2.43-2.49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90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7,143-7,231-7,319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2.59-2.63-2.66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11,785-11,829-11,873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2.69-2.70-2.71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167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1,657-2,013-2,369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89/18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2.34-2.84-3.34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187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3,848-4,152-4,456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76/4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2.84-3.06-3.29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205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6,424-6,632-6,840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3.25-3.36-3.46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179</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5,614-5,802-5,990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47/3</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3.33-3.44-3.56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213</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600-1,224-1,848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156/29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1.94-3.97-5.99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1,053-1,729-2,405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169/17</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2.25-3.69-5.13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1,352-2,108-2,864</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189/16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2.55-3.97-5.40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311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1,760-2,576-3,392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204/15</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3.19-4.67-6.14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239-783-1,327</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136/104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1.60-5.25-8.90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381-997-1,613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154/61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1.76-4.60-7.44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566-1,198-1,830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158/29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2.27-4.80-7.33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657-1,301-1,945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161/26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2.45-4.85-7.26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Unmatched Covariates</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Unmatched</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558-570-582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5.11-5.22-5.33</w:t>
            </w:r>
          </w:p>
        </w:tc>
      </w:tr>
    </w:tbl>
    <w:p>
      <w:pPr>
        <w:spacing w:line="240" w:lineRule="auto" w:after="160"/>
      </w:pPr>
      <w:r>
        <w:rPr>
          <w:rFonts w:ascii="Times New Roman" w:hAnsi="Times New Roman"/>
          <w:sz w:val="18"/>
        </w:rPr>
        <w:t>Note. Deaths lower-mid-upper uses suppressed-cell lower, midpoint, and upper values. Rates are deaths per 100,000 person-years.</w:t>
      </w:r>
    </w:p>
    <w:p>
      <w:pPr>
        <w:keepNext/>
      </w:pPr>
      <w:r>
        <w:rPr>
          <w:rFonts w:ascii="Times New Roman" w:hAnsi="Times New Roman"/>
          <w:b/>
          <w:sz w:val="22"/>
        </w:rPr>
        <w:t>Table 3. Suppression-aware nonmetro nonadjacent model results, rurality plus SVI specification.</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Tier</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Scenario</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Assigned deaths</w:t>
            </w:r>
          </w:p>
        </w:tc>
        <w:tc>
          <w:tcPr>
            <w:tcW w:type="dxa" w:w="648"/>
            <w:shd w:fill="E8EEF5"/>
            <w:vAlign w:val="center"/>
            <w:tcMar>
              <w:top w:w="80" w:type="dxa"/>
              <w:start w:w="80" w:type="dxa"/>
              <w:bottom w:w="80" w:type="dxa"/>
              <w:end w:w="80" w:type="dxa"/>
            </w:tcMar>
          </w:tcPr>
          <w:p>
            <w:pPr>
              <w:spacing w:line="240" w:lineRule="auto" w:after="0"/>
            </w:pPr>
            <w:r>
              <w:rPr>
                <w:rFonts w:ascii="Times New Roman" w:hAnsi="Times New Roman"/>
                <w:sz w:val="16"/>
              </w:rPr>
              <w:t>IRR</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95% CI</w:t>
            </w:r>
          </w:p>
        </w:tc>
        <w:tc>
          <w:tcPr>
            <w:tcW w:type="dxa" w:w="3240"/>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 note</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Observed exact-positive only</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0.80-1.19</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Observed exact plus explicit zero</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0.78-1.06</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1</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53,110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0.98</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0.88-1.10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5,270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Constant-count stress test,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4.06 (constant mean)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1.24</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1.14-1.36</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total as a constant-count stress test; equal assignment concentrates rate influence in lower-population suppressed counties.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5</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59,998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1.29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1.18-1.42</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1,618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9</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66,886</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1.42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1.27-1.60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8,506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Population-scaled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1.04</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0.98-1.10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Conservative anti-rural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0.90-1.04</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Pro-rural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1.13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1.05-1.20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Interval model</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Interval-likelihood negative binomial</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1.07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0.63-1.80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Uses interval likelihood; known suppressed-cell total not imposed.</w:t>
            </w:r>
          </w:p>
        </w:tc>
      </w:tr>
    </w:tbl>
    <w:p>
      <w:pPr>
        <w:spacing w:line="240" w:lineRule="auto" w:after="160"/>
      </w:pPr>
      <w:r>
        <w:rPr>
          <w:rFonts w:ascii="Times New Roman" w:hAnsi="Times New Roman"/>
          <w:sz w:val="18"/>
        </w:rPr>
        <w:t>Note. Reference category is metro_large. CIs are 95% intervals. Fixed-value stress tests are distinguished from total-preserving residual allocations.</w:t>
      </w:r>
    </w:p>
    <w:p>
      <w:pPr>
        <w:keepNext/>
      </w:pPr>
      <w:r>
        <w:rPr>
          <w:rFonts w:ascii="Times New Roman" w:hAnsi="Times New Roman"/>
          <w:b/>
          <w:sz w:val="22"/>
        </w:rPr>
        <w:t>Table 4. National temporal and COVID-19 co-mention context.</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Year</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MCOD deaths</w:t>
            </w:r>
          </w:p>
        </w:tc>
        <w:tc>
          <w:tcPr>
            <w:tcW w:type="dxa" w:w="1512"/>
            <w:shd w:fill="E8EEF5"/>
            <w:vAlign w:val="center"/>
            <w:tcMar>
              <w:top w:w="80" w:type="dxa"/>
              <w:start w:w="80" w:type="dxa"/>
              <w:bottom w:w="80" w:type="dxa"/>
              <w:end w:w="80" w:type="dxa"/>
            </w:tcMar>
          </w:tcPr>
          <w:p>
            <w:pPr>
              <w:spacing w:line="240" w:lineRule="auto" w:after="0"/>
            </w:pPr>
            <w:r>
              <w:rPr>
                <w:rFonts w:ascii="Times New Roman" w:hAnsi="Times New Roman"/>
                <w:sz w:val="16"/>
              </w:rPr>
              <w:t>Population</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National rate per 100,000</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COVID co-mention interval</w:t>
            </w:r>
          </w:p>
        </w:tc>
        <w:tc>
          <w:tcPr>
            <w:tcW w:type="dxa" w:w="1728"/>
            <w:shd w:fill="E8EEF5"/>
            <w:vAlign w:val="center"/>
            <w:tcMar>
              <w:top w:w="80" w:type="dxa"/>
              <w:start w:w="80" w:type="dxa"/>
              <w:bottom w:w="80" w:type="dxa"/>
              <w:end w:w="80" w:type="dxa"/>
            </w:tcMar>
          </w:tcPr>
          <w:p>
            <w:pPr>
              <w:spacing w:line="240" w:lineRule="auto" w:after="0"/>
            </w:pPr>
            <w:r>
              <w:rPr>
                <w:rFonts w:ascii="Times New Roman" w:hAnsi="Times New Roman"/>
                <w:sz w:val="16"/>
              </w:rPr>
              <w:t>COVID midpoint, % of MCOD</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2019</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7,583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328,239,523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0.0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2020</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9,147</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329,484,123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2.78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548-556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6.0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2021</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9,733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331,893,745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2.93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549-557</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5.7</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10,575</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333,287,557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478-486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4.6</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2023</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10,546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334,914,895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198-206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1.9</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2024</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10,796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340,110,988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150-158</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1.4</w:t>
            </w:r>
          </w:p>
        </w:tc>
      </w:tr>
    </w:tbl>
    <w:p>
      <w:pPr>
        <w:spacing w:line="240" w:lineRule="auto" w:after="160"/>
      </w:pPr>
      <w:r>
        <w:rPr>
          <w:rFonts w:ascii="Times New Roman" w:hAnsi="Times New Roman"/>
          <w:sz w:val="18"/>
        </w:rPr>
        <w:t>Note. COVID co-mention interval preserves suppression status and is aggregated across urbanization categories. Yearly intervals are suppression-bounded and midpoint sums need not equal the aggregate COVID co-mention total exactly.</w:t>
      </w:r>
    </w:p>
    <w:p>
      <w:pPr>
        <w:keepNext/>
      </w:pPr>
      <w:r>
        <w:rPr>
          <w:rFonts w:ascii="Times New Roman" w:hAnsi="Times New Roman"/>
          <w:b/>
          <w:sz w:val="22"/>
        </w:rPr>
        <w:t>Table 5. Underlying-cause sensitivity and MCOD/UCD comparison.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8EEF5"/>
            <w:vAlign w:val="center"/>
            <w:tcMar>
              <w:top w:w="80" w:type="dxa"/>
              <w:start w:w="80" w:type="dxa"/>
              <w:bottom w:w="80" w:type="dxa"/>
              <w:end w:w="80" w:type="dxa"/>
            </w:tcMar>
          </w:tcPr>
          <w:p>
            <w:pPr>
              <w:spacing w:line="240" w:lineRule="auto" w:after="0"/>
            </w:pPr>
            <w:r>
              <w:rPr>
                <w:rFonts w:ascii="Times New Roman" w:hAnsi="Times New Roman"/>
                <w:sz w:val="16"/>
              </w:rPr>
              <w:t>Measure</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MCOD G40/G41</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UCD G40/G41</w:t>
            </w:r>
          </w:p>
        </w:tc>
        <w:tc>
          <w:tcPr>
            <w:tcW w:type="dxa" w:w="4968"/>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National aggregate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22,306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MCOD is the broader death-certificate mention construct.</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16,650</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Visible exact deaths are lower in UCD sensitivity.</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504</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Rows are county-period rows.</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Suppressed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1,866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Suppressed rows remain 1-9 intervals, not zero.</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Explicit-zero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772</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Explicit zeros are distinct from suppression.</w:t>
            </w:r>
          </w:p>
        </w:tc>
      </w:tr>
    </w:tbl>
    <w:p>
      <w:pPr>
        <w:spacing w:line="240" w:lineRule="auto" w:after="160"/>
      </w:pPr>
      <w:r>
        <w:rPr>
          <w:rFonts w:ascii="Times New Roman" w:hAnsi="Times New Roman"/>
          <w:sz w:val="18"/>
        </w:rPr>
        <w:t>Note. MCOD indicates multiple-cause G40/G41 mention. UCD indicates underlying-cause G40/G41.</w:t>
      </w:r>
    </w:p>
    <w:p>
      <w:pPr>
        <w:pStyle w:val="Heading1"/>
      </w:pPr>
      <w:r>
        <w:rPr>
          <w:rFonts w:ascii="Times New Roman" w:hAnsi="Times New Roman"/>
          <w:b w:val="0"/>
          <w:sz w:val="24"/>
        </w:rPr>
        <w:t>Figure Legends</w:t>
      </w:r>
    </w:p>
    <w:p>
      <w:r>
        <w:rPr>
          <w:rFonts w:ascii="Times New Roman" w:hAnsi="Times New Roman"/>
          <w:b w:val="0"/>
          <w:sz w:val="24"/>
        </w:rPr>
        <w:t>Figure 1. County multiple-cause G40/G41 death-count status, 2019-2024. Blue indicates exact counts, orange indicates suppressed 1-9 death cells, and hatched gray indicates explicit zero cells. Static map viewport displays the contiguous United States; Alaska and Hawaii are retained in analytic files and models where present but are not shown in the static panel.</w:t>
      </w:r>
    </w:p>
    <w:p>
      <w:r>
        <w:rPr>
          <w:rFonts w:ascii="Times New Roman" w:hAnsi="Times New Roman"/>
          <w:b w:val="0"/>
          <w:sz w:val="24"/>
        </w:rPr>
        <w:t>Figure 2. Two-panel suppression-scenario model estimates. Panel A shows nonmetro nonadjacent IRRs relative to large metropolitan counties. Panel B shows highest-SVI-quartile IRRs relative to the lowest SVI quartile. Points are IRRs and whiskers are 95% CIs from the rurality plus SVI specification on a log scale. Scenario tiers distinguish visible-only models, total-preserving allocations, fixed-value stress tests, and interval-likelihood modeling.</w:t>
      </w:r>
    </w:p>
    <w:p>
      <w:r>
        <w:rPr>
          <w:rFonts w:ascii="Times New Roman" w:hAnsi="Times New Roman"/>
          <w:b w:val="0"/>
          <w:sz w:val="24"/>
        </w:rPr>
        <w:t>Figure 3. Suppression-aware residual-allocation county mortality rate. Color scale uses display clipping at the 5th and 95th percentile of mapped nonmissing rates, with out-of-range counties shown at the nearest color endpoint.</w:t>
      </w:r>
    </w:p>
    <w:p>
      <w:r>
        <w:rPr>
          <w:rFonts w:ascii="Times New Roman" w:hAnsi="Times New Roman"/>
          <w:b w:val="0"/>
          <w:sz w:val="24"/>
        </w:rPr>
        <w:t>Figure 4. Urbanization-year temporal trend and COVID-19 co-mention context, 2019-2024. Panel A shows annual multiple-cause G40/G41 death counts by NCHS urbanization category through 2024; the Not Available category is a data-quality/availability category, not an urbanization level. Panel B shows COVID-19 co-mention death intervals aggregated across urbanization categories. National crude rates are reported in Table 4.</w:t>
      </w:r>
    </w:p>
    <w:p>
      <w:r>
        <w:br w:type="page"/>
      </w:r>
    </w:p>
    <w:p>
      <w:pPr>
        <w:pStyle w:val="Heading1"/>
      </w:pPr>
      <w:r>
        <w:rPr>
          <w:rFonts w:ascii="Times New Roman" w:hAnsi="Times New Roman"/>
          <w:b w:val="0"/>
          <w:sz w:val="24"/>
        </w:rPr>
        <w:t>Figures</w:t>
      </w:r>
    </w:p>
    <w:p>
      <w:pPr>
        <w:jc w:val="center"/>
      </w:pPr>
      <w:r>
        <w:drawing>
          <wp:inline xmlns:a="http://schemas.openxmlformats.org/drawingml/2006/main" xmlns:pic="http://schemas.openxmlformats.org/drawingml/2006/picture">
            <wp:extent cx="5669280" cy="2707783"/>
            <wp:docPr id="1" name="Picture 1"/>
            <wp:cNvGraphicFramePr>
              <a:graphicFrameLocks noChangeAspect="1"/>
            </wp:cNvGraphicFramePr>
            <a:graphic>
              <a:graphicData uri="http://schemas.openxmlformats.org/drawingml/2006/picture">
                <pic:pic>
                  <pic:nvPicPr>
                    <pic:cNvPr id="0" name="figure1_county_suppression_status_tight.png"/>
                    <pic:cNvPicPr/>
                  </pic:nvPicPr>
                  <pic:blipFill>
                    <a:blip r:embed="rId10"/>
                    <a:stretch>
                      <a:fillRect/>
                    </a:stretch>
                  </pic:blipFill>
                  <pic:spPr>
                    <a:xfrm>
                      <a:off x="0" y="0"/>
                      <a:ext cx="5669280" cy="2707783"/>
                    </a:xfrm>
                    <a:prstGeom prst="rect"/>
                  </pic:spPr>
                </pic:pic>
              </a:graphicData>
            </a:graphic>
          </wp:inline>
        </w:drawing>
      </w:r>
    </w:p>
    <w:p>
      <w:pPr>
        <w:spacing w:line="240" w:lineRule="auto" w:after="200"/>
        <w:jc w:val="left"/>
      </w:pPr>
      <w:r>
        <w:rPr>
          <w:rFonts w:ascii="Times New Roman" w:hAnsi="Times New Roman"/>
          <w:i/>
          <w:sz w:val="20"/>
        </w:rPr>
        <w:t>Figure 1. County multiple-cause G40/G41 death-count status, 2019-2024. Blue indicates exact counts, orange indicates suppressed 1-9 death cells, and hatched gray indicates explicit zero cells.</w:t>
      </w:r>
    </w:p>
    <w:p>
      <w:r>
        <w:br w:type="page"/>
      </w:r>
    </w:p>
    <w:p>
      <w:pPr>
        <w:jc w:val="center"/>
      </w:pPr>
      <w:r>
        <w:drawing>
          <wp:inline xmlns:a="http://schemas.openxmlformats.org/drawingml/2006/main" xmlns:pic="http://schemas.openxmlformats.org/drawingml/2006/picture">
            <wp:extent cx="5669280" cy="3044775"/>
            <wp:docPr id="2" name="Picture 2"/>
            <wp:cNvGraphicFramePr>
              <a:graphicFrameLocks noChangeAspect="1"/>
            </wp:cNvGraphicFramePr>
            <a:graphic>
              <a:graphicData uri="http://schemas.openxmlformats.org/drawingml/2006/picture">
                <pic:pic>
                  <pic:nvPicPr>
                    <pic:cNvPr id="0" name="figure2_two_panel_irrs_revised.png"/>
                    <pic:cNvPicPr/>
                  </pic:nvPicPr>
                  <pic:blipFill>
                    <a:blip r:embed="rId11"/>
                    <a:stretch>
                      <a:fillRect/>
                    </a:stretch>
                  </pic:blipFill>
                  <pic:spPr>
                    <a:xfrm>
                      <a:off x="0" y="0"/>
                      <a:ext cx="5669280" cy="3044775"/>
                    </a:xfrm>
                    <a:prstGeom prst="rect"/>
                  </pic:spPr>
                </pic:pic>
              </a:graphicData>
            </a:graphic>
          </wp:inline>
        </w:drawing>
      </w:r>
    </w:p>
    <w:p>
      <w:pPr>
        <w:spacing w:line="240" w:lineRule="auto" w:after="200"/>
        <w:jc w:val="left"/>
      </w:pPr>
      <w:r>
        <w:rPr>
          <w:rFonts w:ascii="Times New Roman" w:hAnsi="Times New Roman"/>
          <w:i/>
          <w:sz w:val="20"/>
        </w:rPr>
        <w:t>Figure 2. Two-panel suppression-scenario model estimates. Panel A shows nonmetro nonadjacent IRRs relative to large metropolitan counties. Panel B shows highest-SVI-quartile IRRs relative to the lowest SVI quartile. Points are IRRs and whiskers are 95% CIs from the rurality plus SVI specification on a log scale.</w:t>
      </w:r>
    </w:p>
    <w:p>
      <w:r>
        <w:br w:type="page"/>
      </w:r>
    </w:p>
    <w:p>
      <w:pPr>
        <w:jc w:val="center"/>
      </w:pPr>
      <w:r>
        <w:drawing>
          <wp:inline xmlns:a="http://schemas.openxmlformats.org/drawingml/2006/main" xmlns:pic="http://schemas.openxmlformats.org/drawingml/2006/picture">
            <wp:extent cx="5669280" cy="2438260"/>
            <wp:docPr id="3" name="Picture 3"/>
            <wp:cNvGraphicFramePr>
              <a:graphicFrameLocks noChangeAspect="1"/>
            </wp:cNvGraphicFramePr>
            <a:graphic>
              <a:graphicData uri="http://schemas.openxmlformats.org/drawingml/2006/picture">
                <pic:pic>
                  <pic:nvPicPr>
                    <pic:cNvPr id="0" name="figure3_suppression_aware_residual_rate_tight.png"/>
                    <pic:cNvPicPr/>
                  </pic:nvPicPr>
                  <pic:blipFill>
                    <a:blip r:embed="rId12"/>
                    <a:stretch>
                      <a:fillRect/>
                    </a:stretch>
                  </pic:blipFill>
                  <pic:spPr>
                    <a:xfrm>
                      <a:off x="0" y="0"/>
                      <a:ext cx="5669280" cy="2438260"/>
                    </a:xfrm>
                    <a:prstGeom prst="rect"/>
                  </pic:spPr>
                </pic:pic>
              </a:graphicData>
            </a:graphic>
          </wp:inline>
        </w:drawing>
      </w:r>
    </w:p>
    <w:p>
      <w:pPr>
        <w:spacing w:line="240" w:lineRule="auto" w:after="200"/>
        <w:jc w:val="left"/>
      </w:pPr>
      <w:r>
        <w:rPr>
          <w:rFonts w:ascii="Times New Roman" w:hAnsi="Times New Roman"/>
          <w:i/>
          <w:sz w:val="20"/>
        </w:rPr>
        <w:t>Figure 3. Suppression-aware residual-allocation county mortality rate. Color scale uses display clipping at the 5th and 95th percentile of mapped nonmissing rates.</w:t>
      </w:r>
    </w:p>
    <w:p>
      <w:r>
        <w:br w:type="page"/>
      </w:r>
    </w:p>
    <w:p>
      <w:pPr>
        <w:jc w:val="center"/>
      </w:pPr>
      <w:r>
        <w:drawing>
          <wp:inline xmlns:a="http://schemas.openxmlformats.org/drawingml/2006/main" xmlns:pic="http://schemas.openxmlformats.org/drawingml/2006/picture">
            <wp:extent cx="5669280" cy="4842090"/>
            <wp:docPr id="4" name="Picture 4"/>
            <wp:cNvGraphicFramePr>
              <a:graphicFrameLocks noChangeAspect="1"/>
            </wp:cNvGraphicFramePr>
            <a:graphic>
              <a:graphicData uri="http://schemas.openxmlformats.org/drawingml/2006/picture">
                <pic:pic>
                  <pic:nvPicPr>
                    <pic:cNvPr id="0" name="figure4_temporal_covid_context_revised.png"/>
                    <pic:cNvPicPr/>
                  </pic:nvPicPr>
                  <pic:blipFill>
                    <a:blip r:embed="rId13"/>
                    <a:stretch>
                      <a:fillRect/>
                    </a:stretch>
                  </pic:blipFill>
                  <pic:spPr>
                    <a:xfrm>
                      <a:off x="0" y="0"/>
                      <a:ext cx="5669280" cy="4842090"/>
                    </a:xfrm>
                    <a:prstGeom prst="rect"/>
                  </pic:spPr>
                </pic:pic>
              </a:graphicData>
            </a:graphic>
          </wp:inline>
        </w:drawing>
      </w:r>
    </w:p>
    <w:p>
      <w:pPr>
        <w:spacing w:line="240" w:lineRule="auto" w:after="200"/>
        <w:jc w:val="left"/>
      </w:pPr>
      <w:r>
        <w:rPr>
          <w:rFonts w:ascii="Times New Roman" w:hAnsi="Times New Roman"/>
          <w:i/>
          <w:sz w:val="20"/>
        </w:rPr>
        <w:t>Figure 4. Urbanization-year temporal trend and COVID-19 co-mention context, 2019-2024. Panel A shows annual multiple-cause G40/G41 death counts by NCHS urbanization category through 2024. Panel B shows COVID-19 co-mention death intervals aggregated across urbanization categories.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manuscript_main_revised.docx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