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STROBE Checklist for Observational Studies</w:t>
      </w:r>
    </w:p>
    <w:p>
      <w:r>
        <w:t>Section locations are provided because final page numbers may change during journal formatting and portal conversion.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Item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STROBE area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Location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Response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Title and abstract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Title/Abstract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Title identifies county-level mortality analysis; abstract summarizes design, data, methods, and key findings.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Background/rationale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Introduction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Rationale for multiple-cause mortality and suppression-aware inference is described.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Objectives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Introduction: aims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Study aims are stated.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Study design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Methods: Study design and data sources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National ecological county-level mortality analysis.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Setting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Methods: Study design and data sources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United States counties, 2019–2024.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Participants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Methods: Case definition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Aggregate death records with ICD-10 G40/G41 mentions; no person-level records analyzed.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Variables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Methods: Case definition; County covariates</w:t>
            </w:r>
          </w:p>
        </w:tc>
        <w:tc>
          <w:tcPr>
            <w:tcW w:type="dxa" w:w="2340"/>
          </w:tcPr>
          <w:p>
            <w:r>
              <w:t>Outcome, rurality, SVI, ACS components, temporal, COVID-19, and underlying-cause variables defined.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Data sources/measurement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Methods: CDC WONDER extraction and validation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CDC WONDER outputs and public county covariate sources described.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Bias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Methods: Suppression status definitions; Discussion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Outcome-dependent suppression and ecological limitations described.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Study size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Results: Extraction validation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County rows, national totals, and suppressed/exact/zero profiles reported.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Quantitative variables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Methods: County covariates and rurality measures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RUCC, NCHS, SVI, and ACS handling described.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Statistical methods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Methods: Bias-bounding analyses; Interval-likelihood model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Bias-bounding and interval-likelihood approaches described.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Participants/units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Results: County suppression and data visibility profile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County rows and status groups reported.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Descriptive data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Results: County covariates and suppression status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County covariate summaries by death-count status reported.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Outcome data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Results: Extraction validation and mortality totals</w:t>
            </w:r>
          </w:p>
        </w:tc>
        <w:tc>
          <w:tcPr>
            <w:tcW w:type="dxa" w:w="2340"/>
          </w:tcPr>
          <w:p>
            <w:r>
              <w:t>Multiple-cause mortality, COVID-19 co-mention, and underlying-cause outcome totals reported.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Main results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Results: Suppression-aware rurality and SVI model results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Model estimates reported with suppression-sensitive interpretation.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Other analyses</w:t>
            </w:r>
          </w:p>
        </w:tc>
        <w:tc>
          <w:tcPr>
            <w:tcW w:type="dxa" w:w="2340"/>
          </w:tcPr>
          <w:p>
            <w:r>
              <w:t>Results: Temporal, COVID-19 co-mention, underlying-cause sensitivity, atlas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Context and sensitivity analyses reported.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Key results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Discussion: Principal findings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Main findings summarized.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Limitations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Discussion: Limitations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Ecological design, suppression assumptions, and coding limitations described.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Interpretation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Discussion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Suppression-aware interpretation emphasized.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Generalisability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Discussion: Implications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Scope limited to aggregate U.S. county-level public mortality data.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Funding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Declarations: Funding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No external funding was received for this work.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76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76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STROBE_checklist</dc:title>
  <dc:subject/>
  <dc:creator>Gregory Pierpoint, B.S.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