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 Checklist for Observational Studies</w:t>
      </w:r>
    </w:p>
    <w:p>
      <w:r>
        <w:t>Section-based locations are provided because final journal portal page numbers may change after typesetting or PDF conversion.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Item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STROBE area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Location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Response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Title and abstract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Title/Abstract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Title identifies county-level mortality analysis; abstract summarizes design, data, methods, and key findings.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Background/rationale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Introduction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Rationale for multiple-cause mortality and suppression-aware inference is described.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Objectives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Introduction: aims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Study aims are stated.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Study design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Study design and data sources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National ecological county-level mortality analysis.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Setting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Study design and data sources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United States counties, 2019–2024.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Participants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Case definition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Aggregate death records with ICD-10 G40/G41 mentions; no person-level records analyzed.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Variables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Case definition; County covariates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Outcome, rurality, SVI, ACS components, temporal, COVID, and UCD variables defined.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Data sources/measurement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CDC WONDER extraction and validation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CDC WONDER outputs and public county covariate sources described.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Bias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Suppression status definitions; Discussion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Outcome-dependent suppression and ecological limitations described.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Study size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Results: Extraction validation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County rows, national totals, and suppressed/exact/zero profiles reported.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Quantitative variables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County covariates and rurality measures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RUCC, NCHS, SVI, and ACS handling described.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Statistical methods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Methods: Bias-bounding analyses; Interval-likelihood model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Bias-bounding and interval-likelihood approaches described.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Participants/units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Results: County suppression and data visibility profile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County rows and status groups reported.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Descriptive data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Results: County covariates and suppression status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County covariate summaries by death-count status reported.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Outcome data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Results: Extraction validation and mortality totals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MCOD, COVID co-mention, and UCD outcome totals reported.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Main results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Results: Suppression-aware rurality and SVI model results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Model estimates reported with suppression-sensitive interpretation.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Other analyses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Results: Temporal, COVID co-mention, UCD sensitivity, atlas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Context and sensitivity analyses reported.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Key results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Discussion: Principal findings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Main findings summarized.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Limitations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Discussion: Limitations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Ecological design, suppression assumptions, and coding limitations described.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Interpretation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Discussion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Suppression-aware interpretation emphasized.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Generalisability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Discussion: Implications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Scope limited to aggregate U.S. county-level public mortality data.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Funding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Declarations: Funding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No external funding was received for this work.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STROBE_checklist</dc:title>
  <dc:subject/>
  <dc:creator>Gregory Pierpoint, B.S.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