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County-level epilepsy/status epilepticus estimates were suppression-sensitive.</w:t>
      </w:r>
    </w:p>
    <w:p>
      <w:pPr>
        <w:pStyle w:val="ListBullet"/>
      </w:pPr>
      <w:r>
        <w:t>CDC WONDER suppression affected 1,722 county-period rows.</w:t>
      </w:r>
    </w:p>
    <w:p>
      <w:pPr>
        <w:pStyle w:val="ListBullet"/>
      </w:pPr>
      <w:r>
        <w:t>Observed-only rurality models did not support a stable elevated association.</w:t>
      </w:r>
    </w:p>
    <w:p>
      <w:pPr>
        <w:pStyle w:val="ListBullet"/>
      </w:pPr>
      <w:r>
        <w:t>Bias-bounding and interval models made hidden-count uncertainty explicit.</w:t>
      </w:r>
    </w:p>
    <w:p>
      <w:pPr>
        <w:pStyle w:val="ListBullet"/>
      </w:pPr>
      <w:r>
        <w:t>A national suppression-aware mortality atlas was created for 2019–2024.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Gregory Pierpoint, B.S.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