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Cover Letter</w:t>
      </w:r>
    </w:p>
    <w:p>
      <w:r>
        <w:rPr>
          <w:rFonts w:ascii="Times New Roman" w:hAnsi="Times New Roman"/>
          <w:b w:val="0"/>
          <w:sz w:val="24"/>
        </w:rPr>
        <w:t>Dear Editors,</w:t>
      </w:r>
    </w:p>
    <w:p>
      <w:r>
        <w:rPr>
          <w:rFonts w:ascii="Times New Roman" w:hAnsi="Times New Roman"/>
          <w:b w:val="0"/>
          <w:sz w:val="24"/>
        </w:rPr>
        <w:t>Please consider the original research manuscript, "Suppression-Aware County-Level Epilepsy and Status Epilepticus Mortality in the United States, 2019–2024," for publication in Epilepsy &amp; Behavior.</w:t>
      </w:r>
    </w:p>
    <w:p>
      <w:r>
        <w:rPr>
          <w:rFonts w:ascii="Times New Roman" w:hAnsi="Times New Roman"/>
          <w:b w:val="0"/>
          <w:sz w:val="24"/>
        </w:rPr>
        <w:t>This manuscript presents a national ecological county-level analysis of epilepsy/status epilepticus-related mortality using reconciled CDC WONDER aggregate outputs and public county covariates. The study preserves suppressed county cells as bounded intervals, reconciles county extracts to aggregate totals, and evaluates whether rurality-associated conclusions remain stable across visible-only, total-preserving allocation, and interval-likelihood approaches. The submission includes populated manuscript tables, publication figures, a self-contained supplement, and reproducibility materials.</w:t>
      </w:r>
    </w:p>
    <w:p>
      <w:r>
        <w:rPr>
          <w:rFonts w:ascii="Times New Roman" w:hAnsi="Times New Roman"/>
          <w:b w:val="0"/>
          <w:sz w:val="24"/>
        </w:rPr>
        <w:t>The work is not under consideration elsewhere and has not been published previously. The author approves submission. No external funding was received, and the author declares no competing interests. The study used public, aggregate, deidentified data and was deemed not human-subjects research.</w:t>
      </w:r>
    </w:p>
    <w:p>
      <w:r>
        <w:rPr>
          <w:rFonts w:ascii="Times New Roman" w:hAnsi="Times New Roman"/>
          <w:b w:val="0"/>
          <w:sz w:val="24"/>
        </w:rPr>
        <w:t>Sincerely,</w:t>
      </w:r>
    </w:p>
    <w:p>
      <w:r>
        <w:rPr>
          <w:rFonts w:ascii="Times New Roman" w:hAnsi="Times New Roman"/>
          <w:b w:val="0"/>
          <w:sz w:val="24"/>
        </w:rPr>
        <w:t>Gregory Pierpoint, B.S.</w:t>
      </w:r>
    </w:p>
    <w:p>
      <w:r>
        <w:rPr>
          <w:rFonts w:ascii="Times New Roman" w:hAnsi="Times New Roman"/>
          <w:b w:val="0"/>
          <w:sz w:val="24"/>
        </w:rPr>
        <w:t>Macon &amp; Joan Brock Virginia Health Sciences, Eastern Virginia Medical School at Old Dominion University, Norfolk, VA, United States</w:t>
      </w:r>
    </w:p>
    <w:p>
      <w:r>
        <w:rPr>
          <w:rFonts w:ascii="Times New Roman" w:hAnsi="Times New Roman"/>
          <w:b w:val="0"/>
          <w:sz w:val="24"/>
        </w:rPr>
        <w:t>Email: pierpogb@odu.edu</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