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Highlights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CDC WONDER county suppression strongly shapes epilepsy/status epilepticus mortality inference.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The county-period extract reconciled to 58,380 deaths, with 6,992 deaths hidden in 1,722 suppressed counties.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Total-preserving residual allocations gave nonmetro nonadjacent IRRs from 0.97 to 1.13.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Fixed-value stress tests that exceed or redistribute the known residual are labeled separately from primary bounds.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Suppression-aware county mapping distinguished visible mortality patterns from allocation-dependent geographic patterns.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