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social vulnerability, age-structure, and sex-composition covariates. Suppressed county cells were preserved as 1-9 death intervals and were not treated as zero. Primary county models included standardized county percentages aged &gt;=65 years and male; direct county age standardization was not used because county age-stratified death cells are heavily suppressed.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The population-scaled residual allocation, treated as the primary total-preserving scenario, estimated an IRR of 1.04, and the interval-likelihood model estimated 1.07 with wide approximate uncertainty. Other total-preserving residual allocations ranged from 0.97 to 1.13. A total-preserving but exposure-ignoring uniform allocation estimated 1.24, showing that the within-suppressed distribution matters; high fixed-value stress tests were interpreted as non-primary stress tests.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an interval-preserving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atlas of data visibility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bounded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reconciliation</w:t>
      </w:r>
    </w:p>
    <w:p>
      <w:r>
        <w:rPr>
          <w:rFonts w:ascii="Times New Roman" w:hAnsi="Times New Roman"/>
          <w:b w:val="0"/>
          <w:sz w:val="24"/>
        </w:rPr>
        <w:t>The analysis used the reconciled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reconciliation confirmed that Q001, Q003, Q004, and Q005 agreed at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Model tables distinguish full-extract assigned deaths from covariate-restricted analytic model deaths. Full-extract assigned deaths refer to all Q001 county rows before covariate restriction. Analytic model deaths reflect the 3,131 matched counties used in county model fits after excluding the 11 WONDER counties without covariates, so those event totals are slightly lower than the full reconciled county extract in total-preserving scenarios.</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Age structure and standardization</w:t>
      </w:r>
    </w:p>
    <w:p>
      <w:r>
        <w:rPr>
          <w:rFonts w:ascii="Times New Roman" w:hAnsi="Times New Roman"/>
          <w:b w:val="0"/>
          <w:sz w:val="24"/>
        </w:rPr>
        <w:t>Age structure is central to mortality interpretation and is correlated with rurality. Direct county-level age-standardized rates were not used as the primary outcome because the county-by-age death strata for this uncommon outcome are heavily affected by CDC WONDER small-cell suppression; treating those suppressed age strata as zero or as fully observed would reintroduce the same visibility bias the study was designed to avoid. Instead, all primary county-period rurality and SVI count models included standardized county percentage aged &gt;=65 years and standardized county percentage male, with log person-years as the offset. Age-by-urbanization summaries are reported descriptively in the supplement to show population-structure context, but they are not presented as recovered person-level or county-age-standardized estimates.</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County geometries used the project's local Plotly county GeoJSON file (`plotly_geojson_counties_fips.json`), a Census-derived county boundary file merged by county FIPS code. The repository does not retain a separate TIGER/Line or cartographic-boundary vintage identifier for this copied geometry source, so no newer geometry was substituted during this pre-submission cleanup. Static maps display a contiguous-U.S. viewport for legibility; Alaska and Hawaii were retained in analytic files where present but are not shown in the static map panels. The District of Columbia is retained.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reconciled,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These age-structure differences motivated including standardized county age 65 years or older and male-percentage covariates in the county count models. Bounded mortality rates by rurality and SVI category are shown in Table 2.</w:t>
      </w:r>
    </w:p>
    <w:p>
      <w:pPr>
        <w:pStyle w:val="Heading2"/>
      </w:pPr>
      <w:r>
        <w:rPr>
          <w:rFonts w:ascii="Times New Roman" w:hAnsi="Times New Roman"/>
          <w:b w:val="0"/>
          <w:sz w:val="24"/>
        </w:rPr>
        <w:t>Suppression-sensitive rurality and SVI model results</w:t>
      </w:r>
    </w:p>
    <w:p>
      <w:r>
        <w:rPr>
          <w:rFonts w:ascii="Times New Roman" w:hAnsi="Times New Roman"/>
          <w:b w:val="0"/>
          <w:sz w:val="24"/>
        </w:rPr>
        <w:t>Scenario tiering changed the interpretation of the rurality signal (Table 3; Figure 2). These rurality plus SVI models adjusted for county age structure and sex composition through standardized county percentage aged &gt;=65 years and percentage male. Table 3 reports both full-extract assigned deaths and covariate-restricted analytic model deaths to avoid conflating reconciliation totals with model-fit event counts after excluding unmatched counties. In the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Figure 1 separates exact visible counts, known positive suppressed intervals, explicit-zero counties, and covariate-unmatched overlay counties so that hidden positive deaths are not visually confused with absent mortality. Figure 3 pairs one population-scaled, total-preserving residual allocation with the underlying visibility structure. The atlas is intended to guide interpretation of where information is visible or hidden; it does not imply that a single mapped rate is the recovered truth for suppressed counties.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reconciled Q001-Q015 extraction set, agreement across county, national, state, and urbanization outputs, preservation of suppressed and zero cells as distinct statuses, explicit bias-bounding scenarios, age/sex covariate adjustment in county models,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bounding cannot recover the true suppressed counts. Direct county-level age-standardized rates were not used as the primary estimand because county-by-age mortality strata are highly vulnerable to small-cell suppression; model-based age-structure adjustment with county percentage aged &gt;=65 years reduces but does not eliminate residual confounding by age.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hidden-cell assumptions even after model adjustment for county age structure and sex composition, and total-preserving residual allocations supported a cautious bounded interpretation rather than a conclusive rurality claim. Interval-preserving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reconciled CDC WONDER aggregate outputs, construct interval-preserving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pStyle w:val="ListNumber"/>
        <w:spacing w:line="480" w:lineRule="auto"/>
      </w:pPr>
      <w:r>
        <w:rPr>
          <w:rFonts w:ascii="Times New Roman" w:hAnsi="Times New Roman"/>
          <w:sz w:val="24"/>
        </w:rPr>
        <w:t>CDC WONDER Multiple Cause of Death, 2018-2024, Single Race database. Available from: https://wonder.cdc.gov/mcd-icd10-expanded.html</w:t>
      </w:r>
    </w:p>
    <w:p>
      <w:pPr>
        <w:pStyle w:val="ListNumber"/>
        <w:spacing w:line="480" w:lineRule="auto"/>
      </w:pPr>
      <w:r>
        <w:rPr>
          <w:rFonts w:ascii="Times New Roman" w:hAnsi="Times New Roman"/>
          <w:sz w:val="24"/>
        </w:rPr>
        <w:t>Centers for Disease Control and Prevention. Multiple Cause of Death 2018-2024 by Single Race: CDC WONDER help documentation. Available from: https://wonder.cdc.gov/wonder/help/mcd-expanded.html</w:t>
      </w:r>
    </w:p>
    <w:p>
      <w:pPr>
        <w:pStyle w:val="ListNumber"/>
        <w:spacing w:line="480" w:lineRule="auto"/>
      </w:pPr>
      <w:r>
        <w:rPr>
          <w:rFonts w:ascii="Times New Roman" w:hAnsi="Times New Roman"/>
          <w:sz w:val="24"/>
        </w:rPr>
        <w:t>CDC WONDER Underlying Cause of Death, 2018-2024, Single Race database. Available from: https://wonder.cdc.gov/ucd-icd10-expanded.html</w:t>
      </w:r>
    </w:p>
    <w:p>
      <w:pPr>
        <w:pStyle w:val="ListNumber"/>
        <w:spacing w:line="480" w:lineRule="auto"/>
      </w:pPr>
      <w:r>
        <w:rPr>
          <w:rFonts w:ascii="Times New Roman" w:hAnsi="Times New Roman"/>
          <w:sz w:val="24"/>
        </w:rPr>
        <w:t>Centers for Disease Control and Prevention/Agency for Toxic Substances and Disease Registry. CDC/ATSDR Social Vulnerability Index data and documentation. Available from: https://www.atsdr.cdc.gov/place-health/php/svi/svi-data-documentation-download.html</w:t>
      </w:r>
    </w:p>
    <w:p>
      <w:pPr>
        <w:pStyle w:val="ListNumber"/>
        <w:spacing w:line="480" w:lineRule="auto"/>
      </w:pPr>
      <w:r>
        <w:rPr>
          <w:rFonts w:ascii="Times New Roman" w:hAnsi="Times New Roman"/>
          <w:sz w:val="24"/>
        </w:rPr>
        <w:t>U.S. Department of Agriculture Economic Research Service. Rural-Urban Continuum Codes documentation. Available from: https://www.ers.usda.gov/data-products/rural-urban-continuum-codes/documentation</w:t>
      </w:r>
    </w:p>
    <w:p>
      <w:pPr>
        <w:pStyle w:val="ListNumber"/>
        <w:spacing w:line="480" w:lineRule="auto"/>
      </w:pPr>
      <w:r>
        <w:rPr>
          <w:rFonts w:ascii="Times New Roman" w:hAnsi="Times New Roman"/>
          <w:sz w:val="24"/>
        </w:rPr>
        <w:t>National Center for Health Statistics. Urban-Rural Classification Scheme for Counties. Available from: https://www.cdc.gov/nchs/data-analysis-tools/urban-rural.html</w:t>
      </w:r>
    </w:p>
    <w:p>
      <w:pPr>
        <w:pStyle w:val="ListNumber"/>
        <w:spacing w:line="480" w:lineRule="auto"/>
      </w:pPr>
      <w:r>
        <w:rPr>
          <w:rFonts w:ascii="Times New Roman" w:hAnsi="Times New Roman"/>
          <w:sz w:val="24"/>
        </w:rPr>
        <w:t>U.S. Census Bureau. American Community Survey 5-Year Data documentation. Available from: https://www.census.gov/data/developers/data-sets/acs-5year.html</w:t>
      </w:r>
    </w:p>
    <w:p>
      <w:pPr>
        <w:pStyle w:val="ListNumber"/>
        <w:spacing w:line="480" w:lineRule="auto"/>
      </w:pPr>
      <w:r>
        <w:rPr>
          <w:rFonts w:ascii="Times New Roman" w:hAnsi="Times New Roman"/>
          <w:sz w:val="24"/>
        </w:rPr>
        <w:t>Vandenbroucke JP, von Elm E, Altman DG, et al. Strengthening the Reporting of Observational Studies in Epidemiology: explanation and elaboration. PLoS Med. 2007;4:e297. Available from: https://pmc.ncbi.nlm.nih.gov/articles/PMC2034723/</w:t>
      </w:r>
    </w:p>
    <w:p>
      <w:pPr>
        <w:pStyle w:val="ListNumber"/>
        <w:spacing w:line="480" w:lineRule="auto"/>
      </w:pPr>
      <w:r>
        <w:rPr>
          <w:rFonts w:ascii="Times New Roman" w:hAnsi="Times New Roman"/>
          <w:sz w:val="24"/>
        </w:rPr>
        <w:t>STROBE Statement. STROBE checklists for observational studies. Available from: https://www.strobe-statement.org/checklists/</w:t>
      </w:r>
    </w:p>
    <w:p>
      <w:pPr>
        <w:pStyle w:val="ListNumber"/>
        <w:spacing w:line="480" w:lineRule="auto"/>
      </w:pPr>
      <w:r>
        <w:rPr>
          <w:rFonts w:ascii="Times New Roman" w:hAnsi="Times New Roman"/>
          <w:sz w:val="24"/>
        </w:rPr>
        <w:t>Elsevier. Generative AI policies for journals. Available from: https://www.elsevier.com/about/policies-and-standards/generative-ai-policies-for-journals</w:t>
      </w:r>
    </w:p>
    <w:p>
      <w:pPr>
        <w:pStyle w:val="ListNumber"/>
        <w:spacing w:line="480" w:lineRule="auto"/>
      </w:pPr>
      <w:r>
        <w:rPr>
          <w:rFonts w:ascii="Times New Roman" w:hAnsi="Times New Roman"/>
          <w:sz w:val="24"/>
        </w:rPr>
        <w:t>Pierpoint G. Suppression-Aware County-Level Epilepsy and Status Epilepticus Mortality in the United States, 2019–2024. Version 1.0.0. Zenodo. https://doi.org/10.5281/zenodo.20691623 Available from: https://doi.org/10.5281/zenodo.20691623</w:t>
      </w:r>
    </w:p>
    <w:p>
      <w:pPr>
        <w:pStyle w:val="ListNumber"/>
        <w:spacing w:line="480" w:lineRule="auto"/>
      </w:pPr>
      <w:r>
        <w:rPr>
          <w:rFonts w:ascii="Times New Roman" w:hAnsi="Times New Roman"/>
          <w:sz w:val="24"/>
        </w:rPr>
        <w:t>Quick H. Estimating County-Level Mortality Rates Using Highly Censored Data From CDC WONDER. Prev Chronic Dis. 2019;16:180441. doi:10.5888/pcd16.180441. Available from: https://www.cdc.gov/pcd/issues/2019/18_0441.htm</w:t>
      </w:r>
    </w:p>
    <w:p>
      <w:pPr>
        <w:pStyle w:val="ListNumber"/>
        <w:spacing w:line="480" w:lineRule="auto"/>
      </w:pPr>
      <w:r>
        <w:rPr>
          <w:rFonts w:ascii="Times New Roman" w:hAnsi="Times New Roman"/>
          <w:sz w:val="24"/>
        </w:rP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spacing w:line="480" w:lineRule="auto"/>
      </w:pPr>
      <w:r>
        <w:rPr>
          <w:rFonts w:ascii="Times New Roman" w:hAnsi="Times New Roman"/>
          <w:sz w:val="24"/>
        </w:rP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spacing w:line="480" w:lineRule="auto"/>
      </w:pPr>
      <w:r>
        <w:rPr>
          <w:rFonts w:ascii="Times New Roman" w:hAnsi="Times New Roman"/>
          <w:sz w:val="24"/>
        </w:rP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spacing w:line="480" w:lineRule="auto"/>
      </w:pPr>
      <w:r>
        <w:rPr>
          <w:rFonts w:ascii="Times New Roman" w:hAnsi="Times New Roman"/>
          <w:sz w:val="24"/>
        </w:rP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spacing w:line="480" w:lineRule="auto"/>
      </w:pPr>
      <w:r>
        <w:rPr>
          <w:rFonts w:ascii="Times New Roman" w:hAnsi="Times New Roman"/>
          <w:sz w:val="24"/>
        </w:rPr>
        <w:t>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 full extract</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Analytic model deaths</w:t>
            </w:r>
          </w:p>
        </w:tc>
        <w:tc>
          <w:tcPr>
            <w:tcW w:type="dxa" w:w="576"/>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c>
          <w:tcPr>
            <w:tcW w:type="dxa" w:w="2736"/>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 note</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0.80-1.19</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0.78-1.06</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52,552</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0.88-1.10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5,270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Constant-count stress test,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57,812.8</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1.14-1.36</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total as a constant-count stress test; equal assignment concentrates rate influence in lower-population suppressed counties.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59,428</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1.18-1.42</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1,618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66,304</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1.27-1.60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8,506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57,817.4</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0.98-1.10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57,812.1</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0.90-1.04</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57,818.5</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1.05-1.20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0.63-1.80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Uses interval likelihood; known suppressed-cell total not imposed.</w:t>
            </w:r>
          </w:p>
        </w:tc>
      </w:tr>
    </w:tbl>
    <w:p>
      <w:pPr>
        <w:spacing w:line="240" w:lineRule="auto" w:after="160"/>
      </w:pPr>
      <w:r>
        <w:rPr>
          <w:rFonts w:ascii="Times New Roman" w:hAnsi="Times New Roman"/>
          <w:sz w:val="18"/>
        </w:rPr>
        <w:t>Note. Reference category is metro_large. CIs are 95% intervals. Assigned deaths use the full county extract before covariate restriction. Analytic model deaths are after excluding 11 WONDER counties without covariates and may be lower than the full-extract reconciliation total.</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 Yearly intervals are suppression-bounded and midpoint sums need not equal the aggregate COVID co-mention total exactly.</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Figures</w:t>
      </w:r>
    </w:p>
    <w:p>
      <w:r>
        <w:br w:type="page"/>
      </w:r>
    </w:p>
    <w:p>
      <w:pPr>
        <w:keepNext/>
        <w:jc w:val="center"/>
      </w:pPr>
      <w:r>
        <w:drawing>
          <wp:inline xmlns:a="http://schemas.openxmlformats.org/drawingml/2006/main" xmlns:pic="http://schemas.openxmlformats.org/drawingml/2006/picture">
            <wp:extent cx="5669280" cy="3799892"/>
            <wp:docPr id="1" name="Picture 1"/>
            <wp:cNvGraphicFramePr>
              <a:graphicFrameLocks noChangeAspect="1"/>
            </wp:cNvGraphicFramePr>
            <a:graphic>
              <a:graphicData uri="http://schemas.openxmlformats.org/drawingml/2006/picture">
                <pic:pic>
                  <pic:nvPicPr>
                    <pic:cNvPr id="0" name="figure1_county_suppression_status_revised.png"/>
                    <pic:cNvPicPr/>
                  </pic:nvPicPr>
                  <pic:blipFill>
                    <a:blip r:embed="rId10"/>
                    <a:stretch>
                      <a:fillRect/>
                    </a:stretch>
                  </pic:blipFill>
                  <pic:spPr>
                    <a:xfrm>
                      <a:off x="0" y="0"/>
                      <a:ext cx="5669280" cy="3799892"/>
                    </a:xfrm>
                    <a:prstGeom prst="rect"/>
                  </pic:spPr>
                </pic:pic>
              </a:graphicData>
            </a:graphic>
          </wp:inline>
        </w:drawing>
      </w:r>
    </w:p>
    <w:p>
      <w:pPr>
        <w:keepLines/>
        <w:spacing w:line="240" w:lineRule="auto" w:after="200"/>
        <w:jc w:val="left"/>
      </w:pPr>
      <w:r>
        <w:rPr>
          <w:rFonts w:ascii="Times New Roman" w:hAnsi="Times New Roman"/>
          <w:i/>
          <w:sz w:val="20"/>
        </w:rPr>
        <w:t>Figure 1. County data visibility for multiple-cause G40/G41 mortality, 2019-2024. Contiguous U.S. counties are shown; Alaska and Hawaii are retained in analytic files where present but are not shown in this static map panel. Suppressed counties are known positive 1-9 death intervals, not zero-death counties. Legend category counts match Table 1; the unmatched/missing-covariate count is shown as an overlay rather than a mutually exclusive death-status category.</w:t>
      </w:r>
    </w:p>
    <w:p>
      <w:r>
        <w:br w:type="page"/>
      </w:r>
    </w:p>
    <w:p>
      <w:pPr>
        <w:keepNext/>
        <w:jc w:val="center"/>
      </w:pPr>
      <w:r>
        <w:drawing>
          <wp:inline xmlns:a="http://schemas.openxmlformats.org/drawingml/2006/main" xmlns:pic="http://schemas.openxmlformats.org/drawingml/2006/picture">
            <wp:extent cx="5669280" cy="3718357"/>
            <wp:docPr id="2" name="Picture 2"/>
            <wp:cNvGraphicFramePr>
              <a:graphicFrameLocks noChangeAspect="1"/>
            </wp:cNvGraphicFramePr>
            <a:graphic>
              <a:graphicData uri="http://schemas.openxmlformats.org/drawingml/2006/picture">
                <pic:pic>
                  <pic:nvPicPr>
                    <pic:cNvPr id="0" name="figure2_suppression_bounds_revised.png"/>
                    <pic:cNvPicPr/>
                  </pic:nvPicPr>
                  <pic:blipFill>
                    <a:blip r:embed="rId11"/>
                    <a:stretch>
                      <a:fillRect/>
                    </a:stretch>
                  </pic:blipFill>
                  <pic:spPr>
                    <a:xfrm>
                      <a:off x="0" y="0"/>
                      <a:ext cx="5669280" cy="3718357"/>
                    </a:xfrm>
                    <a:prstGeom prst="rect"/>
                  </pic:spPr>
                </pic:pic>
              </a:graphicData>
            </a:graphic>
          </wp:inline>
        </w:drawing>
      </w:r>
    </w:p>
    <w:p>
      <w:pPr>
        <w:keepLines/>
        <w:spacing w:line="240" w:lineRule="auto" w:after="200"/>
        <w:jc w:val="left"/>
      </w:pPr>
      <w:r>
        <w:rPr>
          <w:rFonts w:ascii="Times New Roman" w:hAnsi="Times New Roman"/>
          <w:i/>
          <w:sz w:val="20"/>
        </w:rPr>
        <w:t>Figure 2. Two-panel suppression-scenario model estimates. Panel A shows nonmetro nonadjacent IRRs relative to large metropolitan counties. Panel B shows highest-SVI-quartile IRRs relative to the lowest SVI quartile. Points are IRRs and whiskers are 95% CIs from the rurality plus SVI specification on a log scale. Scenario tiers distinguish visible-only analyses, total-preserving residual allocations, fixed-value stress tests, and the interval model.</w:t>
      </w:r>
    </w:p>
    <w:p>
      <w:r>
        <w:br w:type="page"/>
      </w:r>
    </w:p>
    <w:p>
      <w:pPr>
        <w:keepNext/>
        <w:jc w:val="center"/>
      </w:pPr>
      <w:r>
        <w:drawing>
          <wp:inline xmlns:a="http://schemas.openxmlformats.org/drawingml/2006/main" xmlns:pic="http://schemas.openxmlformats.org/drawingml/2006/picture">
            <wp:extent cx="5669280" cy="3354710"/>
            <wp:docPr id="3" name="Picture 3"/>
            <wp:cNvGraphicFramePr>
              <a:graphicFrameLocks noChangeAspect="1"/>
            </wp:cNvGraphicFramePr>
            <a:graphic>
              <a:graphicData uri="http://schemas.openxmlformats.org/drawingml/2006/picture">
                <pic:pic>
                  <pic:nvPicPr>
                    <pic:cNvPr id="0" name="figure3_suppression_aware_residual_rate.png"/>
                    <pic:cNvPicPr/>
                  </pic:nvPicPr>
                  <pic:blipFill>
                    <a:blip r:embed="rId12"/>
                    <a:stretch>
                      <a:fillRect/>
                    </a:stretch>
                  </pic:blipFill>
                  <pic:spPr>
                    <a:xfrm>
                      <a:off x="0" y="0"/>
                      <a:ext cx="5669280" cy="3354710"/>
                    </a:xfrm>
                    <a:prstGeom prst="rect"/>
                  </pic:spPr>
                </pic:pic>
              </a:graphicData>
            </a:graphic>
          </wp:inline>
        </w:drawing>
      </w:r>
    </w:p>
    <w:p>
      <w:pPr>
        <w:keepLines/>
        <w:spacing w:line="240" w:lineRule="auto" w:after="200"/>
        <w:jc w:val="left"/>
      </w:pPr>
      <w:r>
        <w:rPr>
          <w:rFonts w:ascii="Times New Roman" w:hAnsi="Times New Roman"/>
          <w:i/>
          <w:sz w:val="20"/>
        </w:rPr>
        <w:t>Figure 3. Residual-allocation county mortality atlas and data-visibility context. Panel A shows one population-scaled, total-preserving allocation of the suppressed residual, displayed as deaths per 100,000 person-years in discrete bins (&lt;2, 2-3, 3-4, 4-5, and &gt;=5). Panel B shows the underlying county data-visibility categories. This map shows one total-preserving allocation scenario and should not be interpreted as recovered true county rates.</w:t>
      </w:r>
    </w:p>
    <w:p>
      <w:r>
        <w:br w:type="page"/>
      </w:r>
    </w:p>
    <w:p>
      <w:pPr>
        <w:keepNext/>
        <w:jc w:val="center"/>
      </w:pPr>
      <w:r>
        <w:drawing>
          <wp:inline xmlns:a="http://schemas.openxmlformats.org/drawingml/2006/main" xmlns:pic="http://schemas.openxmlformats.org/drawingml/2006/picture">
            <wp:extent cx="5669280" cy="3223091"/>
            <wp:docPr id="4" name="Picture 4"/>
            <wp:cNvGraphicFramePr>
              <a:graphicFrameLocks noChangeAspect="1"/>
            </wp:cNvGraphicFramePr>
            <a:graphic>
              <a:graphicData uri="http://schemas.openxmlformats.org/drawingml/2006/picture">
                <pic:pic>
                  <pic:nvPicPr>
                    <pic:cNvPr id="0" name="figure4_temporal_covid_context_revised.png"/>
                    <pic:cNvPicPr/>
                  </pic:nvPicPr>
                  <pic:blipFill>
                    <a:blip r:embed="rId13"/>
                    <a:stretch>
                      <a:fillRect/>
                    </a:stretch>
                  </pic:blipFill>
                  <pic:spPr>
                    <a:xfrm>
                      <a:off x="0" y="0"/>
                      <a:ext cx="5669280" cy="3223091"/>
                    </a:xfrm>
                    <a:prstGeom prst="rect"/>
                  </pic:spPr>
                </pic:pic>
              </a:graphicData>
            </a:graphic>
          </wp:inline>
        </w:drawing>
      </w:r>
    </w:p>
    <w:p>
      <w:pPr>
        <w:keepLines/>
        <w:spacing w:line="240" w:lineRule="auto" w:after="200"/>
        <w:jc w:val="left"/>
      </w:pPr>
      <w:r>
        <w:rPr>
          <w:rFonts w:ascii="Times New Roman" w:hAnsi="Times New Roman"/>
          <w:i/>
          <w:sz w:val="20"/>
        </w:rPr>
        <w:t>Figure 4. Urbanization-year temporal trend and COVID-19 co-mention context, 2019-2024. Panel A shows annual multiple-cause G40/G41 death counts by NCHS urbanization category through 2024; counts are shown because some urbanization-year denominator fields are unavailable after 2021. Panel B shows COVID-19 co-mention death intervals aggregated across urbanization categories.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