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This supplement is self-contained for editorial review. It embeds the full model table, interval-likelihood results, VIF diagnostics, descriptive age/sex/race/place-of-death context, county-year suppression profile, underlying-cause sensitivity profile, merge exceptions, Connecticut geography note, and supplementary figures. The analysis uses the same frozen reconciled CDC WONDER aggregate outputs and county covariate inputs; CDC WONDER was not re-queried.</w:t>
      </w:r>
    </w:p>
    <w:p>
      <w:r>
        <w:rPr>
          <w:rFonts w:ascii="Times New Roman" w:hAnsi="Times New Roman"/>
          <w:b w:val="0"/>
          <w:sz w:val="24"/>
        </w:rPr>
        <w:t>Code and processed aggregate data supporting this study are available at https://github.com/blakepi/epilepsy-status-mortality-suppression-atlas-2019-2024. The archived release is available at https://doi.org/10.5281/zenodo.20691623.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tables</w:t>
      </w:r>
    </w:p>
    <w:p>
      <w:pPr>
        <w:keepNext/>
      </w:pPr>
      <w:r>
        <w:rPr>
          <w:rFonts w:ascii="Times New Roman" w:hAnsi="Times New Roman"/>
          <w:b/>
          <w:sz w:val="22"/>
        </w:rPr>
        <w:t>Table S1. County-year suppression profile by rurality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 Rurality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140,748,867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41,234,422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3,445,923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25,046,886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61,771,174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6,738,663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82,124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4,509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20,241,430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10,576,320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7,866,886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6,889,848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2,689,809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889,655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17,516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143,387,980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39,902,579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2,887,333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34,971,655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53,147,585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5,974,950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146,665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4,941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21,356,660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9,395,324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151,244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8,686,768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5,886,630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2,683,600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774,540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130,610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148,791,213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36,282,209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2,529,831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37,431,856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52,714,629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4,869,246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276,513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22,660,154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7,978,187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8,612,535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6,110,258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2,720,322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907,221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9,571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147,698,381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38,503,928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2,063,361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38,699,288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53,486,945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3,517,720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23,459,545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7,502,160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82,959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9,055,408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5,560,397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22,982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8,278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150,582,340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2,097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36,032,252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2,536,487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42,752,551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49,559,549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4,040,327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315,073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23,062,675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7,686,701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66,127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9,139,814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5,492,945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8,001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156,893,458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34,039,633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1,895,305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44,210,601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49,397,283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3,985,074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693,171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22,869,666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7,682,746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66,410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8,716,130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5,955,901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9,235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County-year rows preserve exact, suppressed, and zero death-count statuses.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S2. Full suppression-aware model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Type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 Value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Events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Includes all scenario, family, and term rows used to support main Table 3.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S3. Interval-likelihood model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 Log Likelihood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Approximate confidence intervals use optimizer inverse-Hessian estimates; suppressed rows contribute interval probabilities.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S4. Component-model VIF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 Squared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0.387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Maximum VIF was approximately 2.92 for median household income/poverty-related component diagnostics.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S5. Place of death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Descriptive place-of-death context is aggregate and subject to WONDER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S6. Age group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Age group descriptive context is aggregate and not a person-level risk estimate.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S7. Sex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Sex-stratified descriptive context sums to the reconciled national multiple-cause total where rows are exact.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S8. Race and Hispanic-origin descriptive summaries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Descriptive Domain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Race and Hispanic-origin outputs are descriptive aggregate summaries and are limited by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S9. Underlying-cause county suppression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Underlying-cause G40/G41 sensitivity profile preserves exact, suppressed, and explicit-zero status.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S10. County merge and Connecticut geography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BE7"/>
          <w:left w:val="single" w:sz="4" w:space="0" w:color="D7DBE7"/>
          <w:bottom w:val="single" w:sz="4" w:space="0" w:color="D7DBE7"/>
          <w:right w:val="single" w:sz="4" w:space="0" w:color="D7DBE7"/>
          <w:insideH w:val="single" w:sz="4" w:space="0" w:color="D7DBE7"/>
          <w:insideV w:val="single" w:sz="4" w:space="0" w:color="D7DBE7"/>
        </w:tblBorders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Merge Issue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Fips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Name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02261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Valdez-Cordova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02270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Wade Hampton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Fairfield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Hartford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Litchfield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Middlesex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Haven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London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Tolland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Windham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Shannon County, SD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02063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02066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02158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09120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09130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09140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09150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09160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09180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09190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geography note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00009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county/county-equivalent units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CDC WONDER county-equivalent warning retained; no crosswalk correction applied; 2022 planning-region transition may affect period comparability.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Merge exceptions and Connecticut geography cautions are documented for reproducibility.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566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national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56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S1. National multiple-cause G40/G41 mortality trend, 2019-2024.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651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original_covid_urbanization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65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S2. COVID co-mention by year, 2019-2024. Bars show interval midpoints and whiskers show lower-upper suppression bounds.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5564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_residual_allocation_at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56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S3. Residual-allocation county mortality atlas. This map shows one population-scaled, total-preserving allocation scenario for sensitivity context and should not be interpreted as recovered true county rates.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