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Title Page</w:t>
      </w:r>
    </w:p>
    <w:p>
      <w:r>
        <w:rPr>
          <w:rFonts w:ascii="Times New Roman" w:hAnsi="Times New Roman"/>
          <w:b w:val="0"/>
          <w:sz w:val="24"/>
        </w:rPr>
        <w:t>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Corresponding author: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P.O. Box 1980</w:t>
      </w:r>
    </w:p>
    <w:p>
      <w:r>
        <w:rPr>
          <w:rFonts w:ascii="Times New Roman" w:hAnsi="Times New Roman"/>
          <w:b w:val="0"/>
          <w:sz w:val="24"/>
        </w:rPr>
        <w:t>Norfolk, VA 23501</w:t>
      </w:r>
    </w:p>
    <w:p>
      <w:r>
        <w:rPr>
          <w:rFonts w:ascii="Times New Roman" w:hAnsi="Times New Roman"/>
          <w:b w:val="0"/>
          <w:sz w:val="24"/>
        </w:rPr>
        <w:t>United States</w:t>
      </w:r>
    </w:p>
    <w:p>
      <w:r>
        <w:rPr>
          <w:rFonts w:ascii="Times New Roman" w:hAnsi="Times New Roman"/>
          <w:b w:val="0"/>
          <w:sz w:val="24"/>
        </w:rPr>
        <w:t>Email: pierpogb@odu.edu</w:t>
      </w:r>
    </w:p>
    <w:p>
      <w:r>
        <w:rPr>
          <w:rFonts w:ascii="Times New Roman" w:hAnsi="Times New Roman"/>
          <w:b w:val="0"/>
          <w:sz w:val="24"/>
        </w:rPr>
        <w:t>Phone: 202-809-8046</w:t>
      </w:r>
    </w:p>
    <w:p>
      <w:r>
        <w:rPr>
          <w:rFonts w:ascii="Times New Roman" w:hAnsi="Times New Roman"/>
          <w:b w:val="0"/>
          <w:sz w:val="24"/>
        </w:rPr>
        <w:t>ORCID: https://orcid.org/0000-0001-8288-8549</w:t>
      </w:r>
    </w:p>
    <w:p>
      <w:r>
        <w:rPr>
          <w:rFonts w:ascii="Times New Roman" w:hAnsi="Times New Roman"/>
          <w:b w:val="0"/>
          <w:sz w:val="24"/>
        </w:rPr>
        <w:t>Running title: Suppression-aware epilepsy mortality</w:t>
      </w:r>
    </w:p>
    <w:p>
      <w:r>
        <w:rPr>
          <w:rFonts w:ascii="Times New Roman" w:hAnsi="Times New Roman"/>
          <w:b w:val="0"/>
          <w:sz w:val="24"/>
        </w:rPr>
        <w:t>Article type: Original Research</w:t>
      </w:r>
    </w:p>
    <w:p>
      <w:r>
        <w:rPr>
          <w:rFonts w:ascii="Times New Roman" w:hAnsi="Times New Roman"/>
          <w:b w:val="0"/>
          <w:sz w:val="24"/>
        </w:rPr>
        <w:t>Funding: No external funding was received for this work.</w:t>
      </w:r>
    </w:p>
    <w:p>
      <w:r>
        <w:rPr>
          <w:rFonts w:ascii="Times New Roman" w:hAnsi="Times New Roman"/>
          <w:b w:val="0"/>
          <w:sz w:val="24"/>
        </w:rPr>
        <w:t>Conflicts of interest: The author declares no competing interests.</w:t>
      </w:r>
    </w:p>
    <w:p>
      <w:r>
        <w:rPr>
          <w:rFonts w:ascii="Times New Roman" w:hAnsi="Times New Roman"/>
          <w:b w:val="0"/>
          <w:sz w:val="24"/>
        </w:rPr>
        <w:t>Ethics: This study used public, aggregate, deidentified data and was deemed not human-subjects research.</w:t>
      </w:r>
    </w:p>
    <w:p>
      <w:r>
        <w:rPr>
          <w:rFonts w:ascii="Times New Roman" w:hAnsi="Times New Roman"/>
          <w:b w:val="0"/>
          <w:sz w:val="24"/>
        </w:rPr>
        <w:t>Data and code availability: Processed aggregate data, code, tables, figures, and documentation are available at https://github.com/blakepi/epilepsy-status-mortality-suppression-atlas-2019-2024. The archived release is available at https://doi.org/10.5281/zenodo.20691623.</w:t>
      </w:r>
    </w:p>
    <w:p>
      <w:r>
        <w:rPr>
          <w:rFonts w:ascii="Times New Roman" w:hAnsi="Times New Roman"/>
          <w:b w:val="0"/>
          <w:sz w:val="24"/>
        </w:rPr>
        <w:t>Author contributions: Gregory Pierpoint: Conceptualization, Data curation, Formal analysis, Investigation, Methodology, Software, Validation, Visualization, Writing – original draft, Writing – review &amp; editing.</w:t>
      </w:r>
    </w:p>
    <w:p>
      <w:r>
        <w:rPr>
          <w:rFonts w:ascii="Times New Roman" w:hAnsi="Times New Roman"/>
          <w:b w:val="0"/>
          <w:sz w:val="24"/>
        </w:rPr>
        <w:t>AI declaration: Generative AI tools were used to assist with code generation, analysis organization, drafting, editing, and quality-control checks. The author reviewed and verified the analysis, scientific interpretation, references, and manuscript content and is responsible for the final work.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