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pPr>
        <w:pStyle w:val="Heading2"/>
      </w:pPr>
      <w:r>
        <w:t>Objective</w:t>
      </w:r>
    </w:p>
    <w:p>
      <w:r>
        <w:t>To quantify how CDC WONDER county-level suppression shapes national county-level analyses of epilepsy/status epilepticus-related mortality and to evaluate rurality-associated patterns using suppression-aware methods.</w:t>
      </w:r>
    </w:p>
    <w:p>
      <w:pPr>
        <w:pStyle w:val="Heading2"/>
      </w:pPr>
      <w:r>
        <w:t>Methods</w:t>
      </w:r>
    </w:p>
    <w:p>
      <w:r>
        <w:t>We analyzed the CDC WONDER Multiple Cause of Death, 2018–2024 Single Race database for 2019–2024. The primary outcome was multiple-cause mortality with ICD-10 G40 (epilepsy) or G41 (status epilepticus) listed anywhere on the death certificate. Underlying-cause G40/G41 mortality and COVID-19 co-mention (U07.1) were evaluated as contextual analyses. County-period and county-year extracts were linked to county rurality and social vulnerability covariates. Suppressed county cells were coded as intervals of 1–9 deaths and were not treated as zero. We compared observed-only models with bias-bounding scenarios, residual-allocation analyses, and interval-likelihood negative binomial models.</w:t>
      </w:r>
    </w:p>
    <w:p>
      <w:pPr>
        <w:pStyle w:val="Heading2"/>
      </w:pPr>
      <w:r>
        <w:t>Results</w:t>
      </w:r>
    </w:p>
    <w:p>
      <w:r>
        <w:t>National multiple-cause G40/G41 mortality totaled 58,380 deaths. The county-period extract reconciled to the national total but contained 51,388 exact county deaths, 1,722 suppressed county rows, and 335 explicit zero rows. County-year exact deaths totaled 33,217. Nonmetro nonadjacent estimates ranged from below 1.0 in observed-only and conservative scenarios to elevated under suppressed-equals-5, suppressed-equals-9, and pro-rural allocation scenarios; prespecified stress testing classified the rurality finding as suppression-sensitive. COVID-19 co-mention totaled 1,936 deaths, and underlying-cause G40/G41 mortality totaled 22,306 deaths.</w:t>
      </w:r>
    </w:p>
    <w:p>
      <w:pPr>
        <w:pStyle w:val="Heading2"/>
      </w:pPr>
      <w:r>
        <w:t>Conclusion</w:t>
      </w:r>
    </w:p>
    <w:p>
      <w:r>
        <w:t>County-level epilepsy/status epilepticus mortality inference in CDC WONDER is strongly shaped by outcome-dependent suppression. Suppression-aware bounding and interval-likelihood approaches provide a more transparent framework for interpreting rurality-associated, social, temporal, and geographic mortality patterns.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