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4. Temporal, urbanization, and COVID co-mention context</w:t>
      </w:r>
    </w:p>
    <w:p>
      <w:r>
        <w:t>Editable table generated from C:\Research\EpilepsyMortalityOptionB\tables\table4_temporal_context.csv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source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year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deaths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population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rate_per_100k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death_status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rows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lower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upper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national_year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7,583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328,239,523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2.31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national_year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9,147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329,484,123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2.776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national_year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9,733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331,893,745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2.933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national_year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10,575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333,287,557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3.173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national_year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10,546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334,914,895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national_year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10,796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340,110,988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3.174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2,153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101,468,636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2.122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2,751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101,630,353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2.707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2,741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101,641,938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2.697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3,039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2,944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2,993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1,592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81,975,902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1.942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1,792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82,574,901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2.17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83,968,087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2.396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2,165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2,226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66,733,296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2.44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1,968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67,148,016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2.931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2,213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67,891,024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3.26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2,351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2,353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2,485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28,808,101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2.649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877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28,918,812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3.033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969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29,117,935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3.328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1,061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1,075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844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27,627,656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1,006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27,634,067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3.64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1,026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27,782,860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3.693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1,154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1,095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527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18,060,645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686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18,020,968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3.807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17,886,304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3.763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755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803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3,565,287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2.132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3,557,006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1.884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3,605,597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urbanization_year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exact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172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3,891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3,891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suppressed_1_9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1,494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1,494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13,446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zero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1,476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exact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5,104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5,104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suppressed_1_9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1,597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1,597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14,373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zero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1,338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exact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229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5,583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5,583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suppressed_1_9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1,608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1,608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14,472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zero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1,305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exact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6,038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6,038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suppressed_1_9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1,701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1,701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15,309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zero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1,213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exact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252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6,179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6,179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suppressed_1_9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1,657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1,657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14,913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zero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1,233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exact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262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6,422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6,422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suppressed_1_9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1,638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1,638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14,742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county_year_suppression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zero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1,242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>
      <w:r>
        <w:t>Footnote: Suppressed counts are represented as 1-9 intervals where applicable. Rates are labeled by source table and should not be interpreted as individual-level risk.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4. Temporal, urbanization, and COVID co-mention context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