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Letter</w:t>
      </w:r>
    </w:p>
    <w:p>
      <w:r>
        <w:t>Dear Editors,</w:t>
      </w:r>
    </w:p>
    <w:p>
      <w:r>
        <w:t>We are pleased to submit the manuscript, "Suppression-aware county-level epilepsy and status epilepticus mortality in the United States, 2019-2024," for consideration in Epilepsy &amp; Behavior.</w:t>
      </w:r>
    </w:p>
    <w:p>
      <w:r>
        <w:t>This manuscript provides a national suppression-aware county-level analysis and atlas of epilepsy/status epilepticus-related mortality in the United States from 2019-2024. Rather than treating CDC WONDER county suppression as a limitation only, the study explicitly models and bounds suppressed death counts and shows that observed rurality patterns are sensitive to suppression assumptions. The work is relevant to epilepsy outcomes research, rural health surveillance, and methods for using public mortality data responsibly.</w:t>
      </w:r>
    </w:p>
    <w:p>
      <w:r>
        <w:t>The study uses validated CDC WONDER Multiple Cause of Death outputs, county covariates, bias-bounding scenarios, residual-allocation analyses, interval-likelihood negative binomial modeling, temporal and COVID co-mention context, and underlying-cause sensitivity. The central contribution is not a strong rural-disparity claim. Instead, the manuscript shows that county-level inference for epilepsy/status epilepticus mortality is strongly shaped by outcome-dependent small-cell suppression and should be interpreted using suppression-aware methods.</w:t>
      </w:r>
    </w:p>
    <w:p>
      <w:r>
        <w:t>We believe this framing will be of interest to readers studying epilepsy outcomes, mortality surveillance, rural health, and public-use mortality data methods. The manuscript also provides practical guidance for investigators using CDC WONDER county-level data for outcomes in which small-cell suppression affects a large share of counties.</w:t>
      </w:r>
    </w:p>
    <w:p>
      <w:r>
        <w:t>The analysis used public aggregate deidentified data. Submission declarations requiring final author verification are flagged in the package metadata, including funding, conflicts of interest, corresponding-author details, and any institutional wording.</w:t>
      </w:r>
    </w:p>
    <w:p>
      <w:r>
        <w:t>This manuscript is not under consideration elsewhere. [VERIFY before submission]</w:t>
      </w:r>
    </w:p>
    <w:p>
      <w:r>
        <w:t>Sincerely,</w:t>
      </w:r>
    </w:p>
    <w:p>
      <w:r>
        <w:t>[VERIFY: corresponding author name and contact information]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jc w:val="left"/>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COVER_LETTER_REVIEWED</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