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County-level epilepsy/status epilepticus mortality estimates were suppression-sensitive.</w:t>
      </w:r>
    </w:p>
    <w:p>
      <w:pPr>
        <w:pStyle w:val="ListBullet"/>
      </w:pPr>
      <w:r>
        <w:t>CDC WONDER county suppression affected 1,722 county-period MCOD rows.</w:t>
      </w:r>
    </w:p>
    <w:p>
      <w:pPr>
        <w:pStyle w:val="ListBullet"/>
      </w:pPr>
      <w:r>
        <w:t>Observed-only rurality models did not provide a stable final rurality claim.</w:t>
      </w:r>
    </w:p>
    <w:p>
      <w:pPr>
        <w:pStyle w:val="ListBullet"/>
      </w:pPr>
      <w:r>
        <w:t>Bias-bounding and interval-likelihood models made suppression uncertainty explicit.</w:t>
      </w:r>
    </w:p>
    <w:p>
      <w:pPr>
        <w:pStyle w:val="ListBullet"/>
      </w:pPr>
      <w:r>
        <w:t>The study provides a national suppression-aware mortality atlas for 2019-2024.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HIGHLIGHTS_REVIEWED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