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Suppression-aware county-level epilepsy and status epilepticus mortality in the United States, 2019-2024</w:t>
      </w:r>
    </w:p>
    <w:p>
      <w:pPr>
        <w:pStyle w:val="Heading2"/>
      </w:pPr>
      <w:r>
        <w:t>Reviewed Title Page</w:t>
      </w:r>
    </w:p>
    <w:p>
      <w:r>
        <w:t>Title: Suppression-aware county-level epilepsy and status epilepticus mortality in the United States, 2019-2024</w:t>
      </w:r>
    </w:p>
    <w:p>
      <w:r>
        <w:t>Short title: Suppression-aware epilepsy mortality mapping</w:t>
      </w:r>
    </w:p>
    <w:p>
      <w:r>
        <w:t>Article type: Original research</w:t>
      </w:r>
    </w:p>
    <w:p>
      <w:r>
        <w:t>Target journal for package formatting: Epilepsy &amp; Behavior</w:t>
      </w:r>
    </w:p>
    <w:p>
      <w:r>
        <w:t>Manuscript status: Phase 11b reviewed and packaged for human inspection. Author and portal metadata placeholders remain where source information was unavailable.</w:t>
      </w:r>
    </w:p>
    <w:p>
      <w:pPr>
        <w:pStyle w:val="Heading2"/>
      </w:pPr>
      <w:r>
        <w:t>Author Information</w:t>
      </w:r>
    </w:p>
    <w:p>
      <w:r>
        <w:t>[VERIFY: full author list]</w:t>
      </w:r>
    </w:p>
    <w:p>
      <w:r>
        <w:t>[VERIFY: author affiliations]</w:t>
      </w:r>
    </w:p>
    <w:p>
      <w:r>
        <w:t>[VERIFY: corresponding author name, address, email, and telephone if required]</w:t>
      </w:r>
    </w:p>
    <w:p>
      <w:r>
        <w:t>[VERIFY: ORCID identifiers]</w:t>
      </w:r>
    </w:p>
    <w:p>
      <w:pPr>
        <w:pStyle w:val="Heading2"/>
      </w:pPr>
      <w:r>
        <w:t>Declarations Requiring Human Completion</w:t>
      </w:r>
    </w:p>
    <w:p>
      <w:pPr>
        <w:pStyle w:val="ListBullet"/>
      </w:pPr>
      <w:r>
        <w:t>Funding statement: [VERIFY: funding source or no external funding]</w:t>
      </w:r>
    </w:p>
    <w:p>
      <w:pPr>
        <w:pStyle w:val="ListBullet"/>
      </w:pPr>
      <w:r>
        <w:t>Conflict of interest disclosures: [VERIFY: author disclosures]</w:t>
      </w:r>
    </w:p>
    <w:p>
      <w:pPr>
        <w:pStyle w:val="ListBullet"/>
      </w:pPr>
      <w:r>
        <w:t>Author contributions: [VERIFY: CRediT taxonomy]</w:t>
      </w:r>
    </w:p>
    <w:p>
      <w:pPr>
        <w:pStyle w:val="ListBullet"/>
      </w:pPr>
      <w:r>
        <w:t>Acknowledgments: [VERIFY: acknowledgments]</w:t>
      </w:r>
    </w:p>
    <w:p>
      <w:pPr>
        <w:pStyle w:val="ListBullet"/>
      </w:pPr>
      <w:r>
        <w:t>Institutional review or exemption wording: [VERIFY: local institutional wording]</w:t>
      </w:r>
    </w:p>
    <w:p>
      <w:pPr>
        <w:pStyle w:val="ListBullet"/>
      </w:pPr>
      <w:r>
        <w:t>Repository URL/DOI: [VERIFY: public repository or archive if required]</w:t>
      </w:r>
    </w:p>
    <w:p>
      <w:pPr>
        <w:pStyle w:val="Heading2"/>
      </w:pPr>
      <w:r>
        <w:t>Key Study Frame</w:t>
      </w:r>
    </w:p>
    <w:p>
      <w:r>
        <w:t>This manuscript is a suppression-aware mortality methods and atlas paper. It should not be framed as a strong rural-disparity manuscript.</w:t>
      </w:r>
    </w:p>
    <w:p>
      <w:r>
        <w:t>Reviewed: 2026-06-13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76" w:lineRule="auto"/>
      <w:jc w:val="left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76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276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TITLE_PAGE_REVIEWED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