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w:t>
      </w:r>
      <w:r>
        <w:rPr>
          <w:vertAlign w:val="superscript"/>
        </w:rPr>
        <w:t>1,*</w:t>
      </w:r>
      <w:r>
        <w:t xml:space="preserve"> and Alberto E. Musto</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Macon &amp; Joan Brock Virginia Health Sciences Eastern Virginia Medical School at Old Dominion University, Norfolk, Virginia, USA. E-mail: pierpogb@odu.edu</w:t>
      </w:r>
    </w:p>
    <w:p>
      <w:pPr>
        <w:spacing w:line="276" w:lineRule="auto" w:after="160"/>
      </w:pPr>
      <w:r>
        <w:t>ORCID: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5,028 (title page, abstract, text, references, tables, and figure legends). Main text: 2,908 words. Abstract: 284 words. Tables: 3. Figures: 2.</w:t>
      </w:r>
    </w:p>
    <w:p>
      <w:pPr>
        <w:pStyle w:val="Heading1"/>
        <w:pageBreakBefore/>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analyzed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v1.1.0).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(Supplementary Methods).</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w:t>
      </w:r>
    </w:p>
    <w:p>
      <w:pPr>
        <w:pStyle w:val="Heading1"/>
      </w:pPr>
      <w:r>
        <w:t>Results</w:t>
      </w:r>
    </w:p>
    <w:p>
      <w:pPr>
        <w:pStyle w:val="Heading2"/>
      </w:pPr>
      <w:r>
        <w:t>Study population</w:t>
      </w:r>
    </w:p>
    <w:p>
      <w:r>
        <w:t>The seven annual files contained 207,064 sample adults, of whom 7,565 reported a prior stroke (Figure S1). After exclusion of 10 records with unknown age and application of the pooled-sample rules for 2020, the pooled sample comprised 7,181 stroke survivors, of whom 7,104 (98.9%) had a classifiable primary outcome; 6,777 had complete covariates for adjusted models. In the weighted pooled sample, 41.0% were aged 18–64 years, 51.5% were female, 38.8% had a disability, and 51.9% rated their health as fair or poor (Table 1).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S5).</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S6).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S7).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is a modifiable cause of treatment failure, and clinicians rarely detect it unless they ask.[4,6]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S3.</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S5.</w:t>
      </w:r>
    </w:p>
    <w:p>
      <w:pPr>
        <w:pStyle w:val="Heading1"/>
        <w:pageBreakBefore/>
      </w:pPr>
      <w:r>
        <w:t>Figures</w:t>
      </w:r>
    </w:p>
    <w:p>
      <w:pPr>
        <w:keepNext/>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