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 BS</w:t>
      </w:r>
      <w:r>
        <w:rPr>
          <w:vertAlign w:val="superscript"/>
        </w:rPr>
        <w:t>1,*</w:t>
      </w:r>
      <w:r>
        <w:t xml:space="preserve"> and Alberto E. Musto, MD, PhD</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BS, Macon &amp; Joan Brock Virginia Health Sciences Eastern Virginia Medical School at Old Dominion University, 700 West Olney Road, Norfolk, VA 23507, USA; pierpogb@odu.edu</w:t>
      </w:r>
    </w:p>
    <w:p>
      <w:pPr>
        <w:spacing w:line="276" w:lineRule="auto" w:after="160"/>
      </w:pPr>
      <w:r>
        <w:t>ORCID identifiers: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5,080 (title page, abstract, text, references, tables, and figure legends). Main text: 2,945 words. Abstract: 289 words. Tables: 3. Figures: 2.</w:t>
      </w:r>
    </w:p>
    <w:p>
      <w:pPr>
        <w:pStyle w:val="Heading1"/>
        <w:pageBreakBefore/>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 Table S6).</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Table S7).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after stroke is common and modifiable,[4,6] but it is unlikely to be identified unless clinicians ask about it.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