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w:t>
      </w:r>
      <w:r>
        <w:rPr>
          <w:vertAlign w:val="superscript"/>
        </w:rPr>
        <w:t>1,*</w:t>
      </w:r>
      <w:r>
        <w:t xml:space="preserve"> and Alberto E. Musto</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Macon &amp; Joan Brock Virginia Health Sciences Eastern Virginia Medical School at Old Dominion University, Norfolk, Virginia, USA. E-mail: pierpogb@odu.edu</w:t>
      </w:r>
    </w:p>
    <w:p>
      <w:pPr>
        <w:spacing w:line="276" w:lineRule="auto" w:after="160"/>
      </w:pPr>
      <w:r>
        <w:t>ORCID: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Word count: abstract, 284; main text, 2,840. References: 15. Tables: 3. Figures: 2. Supplementary material: Supplementary Methods, Tables S1–S12, Figure S1.</w:t>
      </w:r>
    </w:p>
    <w:p>
      <w:r>
        <w:br w:type="page"/>
      </w:r>
    </w:p>
    <w:p>
      <w:pPr>
        <w:pStyle w:val="Heading1"/>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analyzed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r>
        <w:br w:type="page"/>
      </w:r>
    </w:p>
    <w:p>
      <w:pPr>
        <w:pStyle w:val="Heading1"/>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uses publicly available, de-identified data, this study did not require institutional review.</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(Supplementary Methods).</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w:t>
      </w:r>
    </w:p>
    <w:p>
      <w:pPr>
        <w:pStyle w:val="Heading1"/>
      </w:pPr>
      <w:r>
        <w:t>Results</w:t>
      </w:r>
    </w:p>
    <w:p>
      <w:pPr>
        <w:pStyle w:val="Heading2"/>
      </w:pPr>
      <w:r>
        <w:t>Study population</w:t>
      </w:r>
    </w:p>
    <w:p>
      <w:r>
        <w:t>The seven annual files contained 207,064 sample adults, of whom 7,565 reported a prior stroke (Figure S1). After exclusion of 10 records with unknown age and application of the pooled-sample rules for 2020, the pooled sample comprised 7,181 stroke survivors, of whom 7,104 (98.9%) had a classifiable primary outcome; 6,777 had complete covariates for adjusted models. In the weighted pooled sample, 41.0% were aged 18–64 years, 51.5% were female, 38.8% had a disability, and 51.9% rated their health as fair or poor (Table 1).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S5).</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S6).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S7).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is a modifiable cause of treatment failure, and clinicians rarely detect it unless they ask.[4,6]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Declarations</w:t>
      </w:r>
    </w:p>
    <w:p>
      <w:r>
        <w:rPr>
          <w:b/>
        </w:rPr>
        <w:t>Ethics and consent:</w:t>
      </w:r>
      <w:r>
        <w:t xml:space="preserve"> This secondary analysis used publicly available, de-identified NHIS files released by NCHS. No participants were recruited, no new consent was obtained, and institutional review was not required.</w:t>
      </w:r>
    </w:p>
    <w:p>
      <w:r>
        <w:rPr>
          <w:b/>
        </w:rPr>
        <w:t>Competing interests:</w:t>
      </w:r>
      <w:r>
        <w:t xml:space="preserve"> The authors declare no competing interests.</w:t>
      </w:r>
    </w:p>
    <w:p>
      <w:r>
        <w:rPr>
          <w:b/>
        </w:rPr>
        <w:t>Author contributions:</w:t>
      </w:r>
      <w:r>
        <w:t xml:space="preserve"> G. Blake Pierpoint: Resources; Software; Supervision; Validation; Visualization; Writing – original draft; Writing – review &amp; editing; Investigation; Methodology; Data curation; Formal analysis. Alberto E. Musto: Conceptualization; Supervision; Validation; Investigation; Methodology; Project administration; Writing – review &amp; editing; Data curation; Formal analysis.</w:t>
      </w:r>
    </w:p>
    <w:p>
      <w:r>
        <w:rPr>
          <w:b/>
        </w:rPr>
        <w:t>Data and code availability:</w:t>
      </w:r>
      <w:r>
        <w:t xml:space="preserve"> 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v1.1.0).</w:t>
      </w:r>
    </w:p>
    <w:p>
      <w:r>
        <w:rPr>
          <w:b/>
        </w:rPr>
        <w:t>Use of artificial intelligence:</w:t>
      </w:r>
      <w:r>
        <w:t xml:space="preserve"> Generative artificial intelligence tools were used to assist with statistical programming, numerical verification, and drafting of text. The authors reviewed and edited all content and take full responsibility for the manuscript.</w:t>
      </w:r>
    </w:p>
    <w:p>
      <w:r>
        <w:br w:type="page"/>
      </w:r>
    </w:p>
    <w:p>
      <w:pPr>
        <w:pStyle w:val="Heading1"/>
      </w:pPr>
      <w:r>
        <w:t>References</w:t>
      </w:r>
    </w:p>
    <w:p>
      <w:r>
        <w:t>1. Palaniappan LP, Allen NB, Almarzooq ZI, et al. 2026 Heart Disease and Stroke Statistics: A Report of US and Global Data From the American Heart Association. Circulation. 2026;153(9):e275-e906. doi:10.1161/CIR.0000000000001412</w:t>
      </w:r>
    </w:p>
    <w:p>
      <w:r>
        <w:t>2. Kleindorfer DO, Towfighi A, Chaturvedi S, et al. 2021 Guideline for the Prevention of Stroke in Patients With Stroke and Transient Ischemic Attack. Stroke. 2021;52(7):e364-e467. doi:10.1161/STR.0000000000000375</w:t>
      </w:r>
    </w:p>
    <w:p>
      <w:r>
        <w:t>3. Levine DA, Kiefe CI, Houston TK, Allison JJ, McCarthy EP, Ayanian JZ. Younger stroke survivors have reduced access to physician care and medications: National Health Interview Survey from years 1998 to 2002. Arch Neurol. 2007;64(1):37-42. doi:10.1001/archneur.64.1.noc60002</w:t>
      </w:r>
    </w:p>
    <w:p>
      <w:r>
        <w:t>4. Levine DA, Morgenstern LB, Langa KM, Piette JD, Rogers MAM, Karve SJ. Recent trends in cost-related medication nonadherence among stroke survivors in the United States. Ann Neurol. 2013;73(2):180-188. doi:10.1002/ana.23823</w:t>
      </w:r>
    </w:p>
    <w:p>
      <w:r>
        <w:t>5. Springer MV, Skolarus LE, Patel M. Food Insecurity and Perceived Financial Stress are Associated with Cost-related Medication Non-adherence in Stroke. J Health Care Poor Underserved. 2023;34(2):625-639.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2025;31(7):662-670.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2004;9(8):1-19.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2004;159(7):702-706. doi:10.1093/aje/kwh090</w:t>
      </w:r>
    </w:p>
    <w:p>
      <w:r>
        <w:t>14. Graubard BI, Korn EL. Predictive Margins with Survey Data. Biometrics. 1999;55(2):652-659. doi:10.1111/j.0006-341X.1999.00652.x</w:t>
      </w:r>
    </w:p>
    <w:p>
      <w:r>
        <w:t>15. von Elm E, Altman DG, Egger M, Pocock SJ, Gøtzsche PC, Vandenbroucke JP, STROBE Initiative. The Strengthening the Reporting of Observational Studies in Epidemiology Statement Guidelines for Reporting Observational Studies. PLoS Med. 2007;4(10):e296. doi:10.1371/journal.pmed.0040296</w:t>
      </w:r>
    </w:p>
    <w:p>
      <w:r>
        <w:br w:type="page"/>
      </w:r>
    </w:p>
    <w:p>
      <w:pPr>
        <w:pStyle w:val="Heading1"/>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S3.</w:t>
      </w:r>
    </w:p>
    <w:p>
      <w:r>
        <w:br w:type="page"/>
      </w:r>
    </w:p>
    <w:p>
      <w:pPr>
        <w:keepNext/>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r>
        <w:br w:type="page"/>
      </w:r>
    </w:p>
    <w:p>
      <w:pPr>
        <w:keepNext/>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S5.</w:t>
      </w:r>
    </w:p>
    <w:p>
      <w:r>
        <w:br w:type="page"/>
      </w:r>
    </w:p>
    <w:p>
      <w:pPr>
        <w:pStyle w:val="Heading1"/>
      </w:pPr>
      <w:r>
        <w:t>Figure Legends</w:t>
      </w:r>
    </w:p>
    <w:p>
      <w:r>
        <w:rPr>
          <w:b/>
        </w:rPr>
        <w:t>Figure 1. Cost-related barriers among US stroke survivors, 2019–2025.</w:t>
      </w:r>
      <w: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confidence intervals.</w:t>
      </w:r>
    </w:p>
    <w:p>
      <w:r>
        <w:rPr>
          <w:b/>
        </w:rPr>
        <w:t>Figure 2. Distribution of cost-related barriers by survivor characteristics.</w:t>
      </w:r>
      <w: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confidence intervals; the dashed line marks a prevalence ratio of 1.</w:t>
      </w:r>
    </w:p>
    <w:p>
      <w:r>
        <w:br w:type="page"/>
      </w:r>
    </w:p>
    <w:p>
      <w:pPr>
        <w:spacing w:line="276" w:lineRule="auto"/>
      </w:pPr>
      <w:r>
        <w:rPr>
          <w:b/>
        </w:rPr>
        <w:t>Figure 1</w:t>
      </w:r>
    </w:p>
    <w:p>
      <w:pPr>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r>
        <w:br w:type="page"/>
      </w:r>
    </w:p>
    <w:p>
      <w:pPr>
        <w:spacing w:line="276" w:lineRule="auto"/>
      </w:pPr>
      <w:r>
        <w:rPr>
          <w:b/>
        </w:rPr>
        <w:t>Figure 2</w:t>
      </w:r>
    </w:p>
    <w:p>
      <w:pPr>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