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Editor,</w:t>
      </w:r>
    </w:p>
    <w:p>
      <w:r>
        <w:t xml:space="preserve">We are pleased to submit our manuscript, "Cost-Related Barriers to Care and Medications Among US Stroke Survivors, 2019–2025," to </w:t>
      </w:r>
      <w:r>
        <w:rPr>
          <w:i/>
        </w:rPr>
        <w:t>Stroke</w:t>
      </w:r>
      <w:r>
        <w:t xml:space="preserve"> for consideration as an Original Contribution.</w:t>
      </w:r>
    </w:p>
    <w:p>
      <w:r>
        <w:t>Secondary prevention after stroke depends on regular follow-up and continued use of preventive medications. Using the National Health Interview Survey for 2019 through 2025, we found that approximately 1 in 6 US stroke survivors, and more than 1 in 4 of those aged 18–64 years, delayed or did not receive medical care, could not afford a needed prescription, or reduced medication use because of cost in the preceding year. Among uninsured survivors, 58.7% reported a barrier. Working-age survivors remained more than twice as likely as older survivors to report a barrier after adjustment for income, insurance, education, and health status, and prevalence did not decline over the study period.</w:t>
      </w:r>
    </w:p>
    <w:p>
      <w:r>
        <w:t>To our knowledge, this is the first stroke-specific national analysis to examine cost-related barriers to medical visits together with barriers to medications, and it extends the available estimates through 2025. The analysis uses the NCHS-recommended weights for pooling the 2020 survey and all ten NCHS income imputations. Sequential adjustment within a single analytic sample showed that the higher prevalence among working-age survivors was only partly explained by measured socioeconomic and clinical characteristics, which supports affordability screening beyond uninsured patients.</w:t>
      </w:r>
    </w:p>
    <w:p>
      <w:r>
        <w:t>Acquisition, analysis, verification, and manuscript-generation code, together with source file hashes and aggregate results, are publicly available at https://github.com/blakepi/nhis-stroke-affordability. All primary estimates were independently reproduced in a second software environment.</w:t>
      </w:r>
    </w:p>
    <w:p>
      <w:r>
        <w:t>The manuscript has not been published and is not under consideration elsewhere. The authors declare no competing interests. No institutional review was required for this secondary analysis of public-use, de-identified data. Both authors have approved the manuscript and agree to its submission.</w:t>
      </w:r>
    </w:p>
    <w:p>
      <w:r>
        <w:t xml:space="preserve">We believe the findings will be of interest to readers of </w:t>
      </w:r>
      <w:r>
        <w:rPr>
          <w:i/>
        </w:rPr>
        <w:t>Stroke</w:t>
      </w:r>
      <w:r>
        <w:t xml:space="preserve"> concerned with stroke care delivery and equitable access to secondary prevention.</w:t>
      </w:r>
    </w:p>
    <w:p>
      <w:r>
        <w:t>Sincerely,</w:t>
      </w:r>
    </w:p>
    <w:p>
      <w:pPr>
        <w:spacing w:after="0"/>
      </w:pPr>
      <w:r>
        <w:t>G. Blake Pierpoint, BS</w:t>
      </w:r>
      <w:r>
        <w:br/>
      </w:r>
      <w:r>
        <w:t>Macon &amp; Joan Brock Virginia Health Sciences Eastern Virginia Medical School at Old Dominion University</w:t>
      </w:r>
      <w:r>
        <w:br/>
      </w:r>
      <w:r>
        <w:t>700 West Olney Road, Norfolk, VA 23507, USA</w:t>
      </w:r>
      <w:r>
        <w:br/>
      </w:r>
      <w:r>
        <w:t>pierpogb@odu.edu</w:t>
      </w:r>
      <w:r>
        <w:br/>
      </w:r>
      <w:r>
        <w:t>On behalf of Alberto E. Musto, MD, PhD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 w:eastAsia="Times New Roman" w:cs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 Blake Pierpoint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