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 BS</w:t>
      </w:r>
      <w:r>
        <w:rPr>
          <w:vertAlign w:val="superscript"/>
        </w:rPr>
        <w:t>1,*</w:t>
      </w:r>
      <w:r>
        <w:t xml:space="preserve"> and Alberto E. Musto, MD, PhD</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BS, Macon &amp; Joan Brock Virginia Health Sciences Eastern Virginia Medical School at Old Dominion University, 700 West Olney Road, Norfolk, VA 23507, USA; pierpogb@odu.edu</w:t>
      </w:r>
    </w:p>
    <w:p>
      <w:pPr>
        <w:spacing w:line="276" w:lineRule="auto" w:after="160"/>
      </w:pPr>
      <w:r>
        <w:t>ORCID identifiers: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4,752 (title page, abstract, text, references, tables, and figure legends). Main text: 2,613 words. Abstract: 293 words. Tables: 3. Figures: 2.</w:t>
      </w:r>
    </w:p>
    <w:p>
      <w:pPr>
        <w:pStyle w:val="Heading1"/>
        <w:pageBreakBefore/>
      </w:pPr>
      <w:r>
        <w:t>Abstract</w:t>
      </w:r>
    </w:p>
    <w:p>
      <w:r>
        <w:rPr>
          <w:b/>
        </w:rPr>
        <w:t>Background:</w:t>
      </w:r>
      <w:r>
        <w:t xml:space="preserve"> Secondary prevention after stroke requires continued access to follow-up care and medications. Recent national estimates for stroke survivors have addressed medication costs only. We estimated the prevalence of cost-related barriers to both medical care and medications among US stroke survivors from 2019 through 2025 and examined which groups were most affected.</w:t>
      </w:r>
    </w:p>
    <w:p>
      <w:r>
        <w:rPr>
          <w:b/>
        </w:rPr>
        <w:t>Methods:</w:t>
      </w:r>
      <w:r>
        <w:t xml:space="preserve"> We conducted a repeated cross-sectional analysis of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About 1 in 6 US stroke survivors, and more than 1 in 4 of those aged 18–64 years, reported delaying or forgoing care or medications because of cost, and prevalence did not decline between 2019 and 2025. Affordability should be assessed routinely during post-stroke follow-up, particularly among working-age, lower-income, and uninsured survivors.</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have survived a stroke and remain at elevated risk of recurrent vascular events.[1] Guidelines for secondary prevention recommend long-term control of blood pressure, lipids, and glucose and continued antithrombotic therapy,[2] which require regular outpatient follow-up and uninterrupted access to prescription medications. Out-of-pocket costs can limit both.</w:t>
      </w:r>
    </w:p>
    <w:p>
      <w:r>
        <w:t>Cost-related barriers after stroke have been described for more than 2 decades.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Among working-age US adults with multiple chronic conditions, cost-related nonadherence declined between 2019 and 2023.[7]</w:t>
      </w:r>
    </w:p>
    <w:p>
      <w:r>
        <w:t>Recent stroke-specific studies have examined medication nonadherence but not delayed or forgone medical care, which affects the visits at which preventive therapy is prescribed and adjusted. No study has covered the full period from 2019, the first year of the redesigned NHIS, through 2025, which included the COVID-19 pandemic and temporary coverage protections. The contribution of income, insurance, and health status to the higher prevalence among working-age survivors has not been quantified.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All acquisition, analysis, verification, and manuscript-generation code, source file hashes, aggregate results, tables, and figures are publicly available at https://github.com/blakepi/nhis-stroke-affordability (release v1.2.0).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(Supplemental Methods; Tables S1 and S2).</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to quantify attenuation of the age-group association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modified Poisson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Reporting follows the STROBE guideline;[15] the completed checklist is provided in the Supplemental Material.</w:t>
      </w:r>
    </w:p>
    <w:p>
      <w:pPr>
        <w:pStyle w:val="Heading1"/>
      </w:pPr>
      <w:r>
        <w:t>Results</w:t>
      </w:r>
    </w:p>
    <w:p>
      <w:pPr>
        <w:pStyle w:val="Heading2"/>
      </w:pPr>
      <w:r>
        <w:t>Study population</w:t>
      </w:r>
    </w:p>
    <w:p>
      <w:r>
        <w:t>The seven annual files contained 207,064 sample adults, of whom 7,565 reported a prior stroke (Figure S1; Table S3). After exclusion of 10 records with unknown age and application of the pooled-sample rules for 2020, the pooled sample comprised 7,181 stroke survivors, of whom 7,104 (98.9%) had a classifiable primary outcome; 6,777 had complete covariates for adjusted models (Table S4). In the weighted pooled sample, 41.0% were aged 18–64 years, 51.5% were female, 38.8% had a disability, and 51.9% rated their health as fair or poor (Table 1 and Table S5).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1 in 6 stroke survivors (Table 2). The most common barrier was needing but not getting a prescription medication because of cost (10.0%; 95% CI, 9.1%–11.0%), followed by delaying medical care (8.5%; 95% CI, 7.7%–9.4%) and forgoing medical care (8.4%; 95% CI, 7.6%–9.3%) (Figure 1B). Among survivors prescribed medication, 10.1% (95% CI, 9.2%–11.1%) reported skipping doses, taking less, or delaying fills to save money. Restricting the composite to the three universal questions gave a prevalence of 15.5% (95% CI, 14.3%–16.6%) (Table S6).</w:t>
      </w:r>
    </w:p>
    <w:p>
      <w:r>
        <w:t>Observed annual prevalence ranged from 15.3% to 20.6% without a monotonic trend (Figure 1A; Table 2). After standardization for demographic, socioeconomic, and clinical characteristics, prevalence was 19.2% (95% CI, 16.6%–22.0%) in 2019 and 17.0% (95% CI, 14.3%–20.1%) in 2025, an absolute difference of −2.1 percentage points (95% CI, −6.0 to 1.8). Prevalence did not differ significantly by year (P=0.258), and the age-group difference was stable over time (P=0.830 for interaction).</w:t>
      </w:r>
    </w:p>
    <w:p>
      <w:pPr>
        <w:pStyle w:val="Heading2"/>
      </w:pPr>
      <w:r>
        <w:t>Who reports cost-related barriers</w:t>
      </w:r>
    </w:p>
    <w:p>
      <w:r>
        <w:t>Prevalence differed by age, income, and insurance (Figure 2; Table S7). Working-age survivors reported barriers at 28.0% (95% CI, 25.9%–30.2%), compared with 10.9% (95% CI, 9.8%–12.0%) among survivors aged 65 years and older. Prevalence was higher at lower income levels: 8.2% at 400% FPL or higher, 18.0% at 200%–399% FPL, 23.5% at 100%–199% FPL, and 22.5% below 100% FPL. A barrier was reported by 58.7% (95% CI, 50.7%–66.3%) of uninsured survivors, compared with 16.6% (95% CI, 14.9%–18.4%) of privately insured survivors and 15.8% (95% CI, 14.5%–17.3%) of those with public coverage only. Survivors with a disability reported barriers more often than those without: 20.2% (95% CI, 18.4%–22.1%) versus 16.5% (95% CI, 15.1%–17.9%).</w:t>
      </w:r>
    </w:p>
    <w:p>
      <w:r>
        <w:t>In adjusted models, the association with working age was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(PR,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S8).</w:t>
      </w:r>
    </w:p>
    <w:p>
      <w:pPr>
        <w:pStyle w:val="Heading2"/>
      </w:pPr>
      <w:r>
        <w:t>Sensitivity analyses</w:t>
      </w:r>
    </w:p>
    <w:p>
      <w:r>
        <w:t>Results were similar when 2020 was excluded (income 100%–199% FPL: PR, 2.59; 95% CI, 2.00–3.36; uninsured: PR, 1.82; 95% CI, 1.49–2.21; disability: PR, 1.18; 95% CI, 1.04–1.34) and were consistent in direction across component outcomes and the missing-category analysis (Table S9). Within working-age survivors, the disability association was smaller (PR, 1.08; 95% CI, 0.92–1.27). The fully adjusted modified Poisson model produced fitted values above one for approximately 0.2% of records; standardized prevalence ratios from bounded logistic models were similar: 2.13 (95% CI, 1.86–2.44) for working age, 2.41 (95% CI, 1.88–3.09) for income 100%–199% FPL, 1.99 (95% CI, 1.63–2.43) for uninsured status, and 1.18 (95% CI, 1.04–1.33) for disability (Table S10). Model convergence and fitted-value diagnostics are given in Table S11.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approximately 1 in 6 US stroke survivors reported delaying or forgoing medical care, going without a needed prescription, or rationing medication because of cost in the preceding year. More than 1 in 4 working-age survivors and nearly 3 in 5 uninsured survivors reported a barrier, prevalence was higher at lower income levels, and survivors with disability were affected more often than those without. Working-age survivors remained more than twice as likely as older survivors to report a barrier after adjustment for income, insurance, education, and health status. Prevalence did not decline between 2019 and 2025.</w:t>
      </w:r>
    </w:p>
    <w:p>
      <w:r>
        <w:t>These findings are consistent with earlier NHIS studies, in which younger stroke survivors were less able to obtain physician care and medications in 1998–2002[3] and cost-related medication nonadherence was common through 2010.[4] The most recent stroke-specific estimate, 13% cost-related medication nonadherence in 2020–2023,[6] is consistent with the 10.1% (95% CI, 9.2%–11.1%) medication underuse and 10.0% (95% CI, 9.1%–11.0%) forgone prescriptions observed here. Our estimates add delayed and forgone medical care, each reported by approximately 8% of survivors, showing that cost limits outpatient visits as well as medication use. The absence of a decline across 2019–2025 differs from the decrease in cost-related nonadherence reported among working-age adults with multiple chronic conditions over 2019–2023.[7]</w:t>
      </w:r>
    </w:p>
    <w:p>
      <w:r>
        <w:t>Medicare eligibility at 65 years is a frequently cited explanation for age differences in affordability. The prevalence ratio for working age decreased from 2.51 to 2.18 (95% CI, 1.90–2.50) across models, so income and insurance explained part of the difference, but most of the excess remained after adjustment. Unlike Medicare beneficiaries, most working-age survivors rely on employer-sponsored or individually purchased coverage with deductibles and cost sharing, and a stroke can end both employment and the coverage attached to it. Underinsurance, which NHIS does not measure, is a likely contributor among privately insured survivors, 16.6% of whom reported a barrier. Affordability screening should therefore extend beyond uninsured patients.</w:t>
      </w:r>
    </w:p>
    <w:p>
      <w:r>
        <w:t>Survivors with public coverage had lower adjusted prevalence than those with private coverage. Public coverage in this population is mostly Medicare, often combined with Medicaid or supplemental coverage that limits out-of-pocket costs. The association with disability persisted after adjustment, consistent with the greater care needs and reduced earning capacity that follow disabling stroke.</w:t>
      </w:r>
    </w:p>
    <w:p>
      <w:r>
        <w:t>Cost-related nonadherence after stroke is common,[4,6] and identifying it requires asking patients directly. Brief affordability screening at follow-up, focused on survivors younger than 65 years, those with lower income, and those with disability, identifies candidates for generic substitution, patient assistance programs, insurance navigation, and social work referral. Cost-related barriers in this population did not decline under the coverage policies in effect during 2019–2025.</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This study has limitations. Stroke history and cost-related barriers were self-reported. The survey does not record stroke subtype, timing, or severity, so some barriers may predate the stroke. NHIS excludes institutionalized adults, who include the most severely disabled survivors. The composite outcome does not capture the frequency or duration of barriers, whether forgone care was stroke related, or which medications were rationed. Insurance and disability were measured at interview, whereas barriers refer to the preceding year. Wealth, out-of-pocket spending, benefit design, and caregiving support were not measured, and the associations are cross-sectional. Nonincome covariates were analyzed as complete cases. The analysis was not preregistered.</w:t>
      </w:r>
    </w:p>
    <w:p>
      <w:pPr>
        <w:pStyle w:val="Heading1"/>
      </w:pPr>
      <w:r>
        <w:t>Conclusions</w:t>
      </w:r>
    </w:p>
    <w:p>
      <w:r>
        <w:t>Cost-related barriers to medical care and medications were reported by approximately 1 in 6 US stroke survivors and more than 1 in 4 of those aged 18–64 years, with no decline between 2019 and 2025. Affordability should be assessed routinely during post-stroke follow-up, particularly for younger, lower-income, uninsured, and disabled patients.</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(STROBE)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S5.</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S8.</w:t>
      </w:r>
    </w:p>
    <w:p>
      <w:pPr>
        <w:pStyle w:val="Heading1"/>
        <w:pageBreakBefore/>
      </w:pPr>
      <w:r>
        <w:t>Figures</w:t>
      </w:r>
    </w:p>
    <w:p>
      <w:pPr>
        <w:keepNext/>
        <w:jc w:val="center"/>
      </w:pPr>
      <w:r>
        <w:drawing>
          <wp:inline xmlns:a="http://schemas.openxmlformats.org/drawingml/2006/main" xmlns:pic="http://schemas.openxmlformats.org/drawingml/2006/picture">
            <wp:extent cx="5943600" cy="6283234"/>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6283234"/>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