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Abstract</w:t>
      </w:r>
    </w:p>
    <w:p>
      <w:r>
        <w:t>Background: Persistent post-concussive symptoms affect a clinically important minority after mild traumatic brain injury (mTBI), but early prognosis remains difficult, and small EEG biomarker studies are vulnerable to data leakage.</w:t>
      </w:r>
    </w:p>
    <w:p>
      <w:r>
        <w:t>Objective: To test whether early resting-state and auditory-oddball EEG features were associated with later Session-3 Neurobehavioral Symptom Inventory (NSI) symptom burden in a public mTBI cohort, and whether related public datasets permit feature-identical replication.</w:t>
      </w:r>
    </w:p>
    <w:p>
      <w:r>
        <w:t>Methods: We reanalysed OpenNeuro ds003522 using stable subject identifiers. An internal version-controlled analysis plan, feature definitions, cross-validation folds, leakage rules, and statistical hierarchy were locked before outcome modeling and before inspection of EEG feature-outcome associations. The primary outcome was continuous Session-3 NSI total.</w:t>
      </w:r>
    </w:p>
    <w:p>
      <w:r>
        <w:t>Results: In the primary model (n = 21), no predictor's 95% confidence interval excluded zero. The largest standardized primary association was P3b amplitude (beta = 0.24, 95% CI -0.40 to 0.88; adjusted R2 = -0.19). Elastic Net retained no feature. A prespecified secondary association between P3b amplitude and S1-to-S3 Rivermead change (n = 19; beta = 0.66, FDR p = 0.035) was hypothesis-generating and did not alter the primary NSI conclusion. Feature-identical clinical replication was not estimable in related public datasets.</w:t>
      </w:r>
    </w:p>
    <w:p>
      <w:r>
        <w:t>Conclusions: The locked EEG feature panel did not yield stable primary prediction of later NSI symptom burden in this small cohort. The findings are inconclusive and underpowered, underscoring the need for larger, longitudinal, paradigm-matched validation cohorts.</w:t>
      </w:r>
    </w:p>
    <w:p>
      <w:r>
        <w:t>Significance: This analysis provides a reproducible template for leakage-safe EEG biomarker reanalysis and replication-feasibility auditing in small public datasets.</w:t>
      </w:r>
    </w:p>
    <w:p>
      <w:r>
        <w:t>Word count: 243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structured_abstract_cnp</dc:title>
  <dc:subject>Clinical Neurophysiology Practice structured abstract</dc:subject>
  <dc:creator>Gregory Blake Pierpoint</dc:creator>
  <cp:keywords>mild traumatic brain injury; electroencephalography; post-concussive symptoms; event-related potentials; reproducibility; data leakage</cp:keywords>
  <dc:description>generated by python-docx</dc:description>
  <cp:lastModifiedBy/>
  <cp:revision>1</cp:revision>
  <dcterms:created xsi:type="dcterms:W3CDTF">2013-12-23T23:15:00Z</dcterms:created>
  <dcterms:modified xsi:type="dcterms:W3CDTF">2013-12-23T23:15:00Z</dcterms:modified>
  <cp:category/>
</cp:coreProperties>
</file>