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</w:t>
      </w:r>
    </w:p>
    <w:p>
      <w:r>
        <w:t>Dear Editors,</w:t>
      </w:r>
    </w:p>
    <w:p>
      <w:r>
        <w:t>Please consider this Research Paper, "Leakage-Safe EEG Biomarker Analysis After Mild Traumatic Brain Injury: A Preregistered OpenNeuro Reanalysis and Replication Feasibility Study," which is framed as a methodological reanalysis of public EEG data, for Clinical Neurophysiology Practice.</w:t>
      </w:r>
    </w:p>
    <w:p>
      <w:r>
        <w:t>The manuscript reports a rigorous methodological reanalysis of EEG-based prognostic modeling after mild traumatic brain injury. Using the public OpenNeuro ds003522 dataset, the analysis evaluated whether Session-1 resting-state and auditory-oddball EEG features predicted later Session-3 NSI symptom burden. Subject identity handling, feature definitions, cross-validation folds, preprocessing rules, and the statistical hierarchy were locked before outcome modeling. The study found no stable primary evidence that the tested EEG feature panel predicted later Session-3 NSI symptom burden in this small cohort; prespecified secondary and sensitivity analyses have now been reported transparently. The negative primary clinical result is intentionally framed as inconclusive and underpowered, while the main contribution is methodological: leakage-safe analysis, identity resolution, locked feature definitions, and transparent replication-feasibility auditing.</w:t>
      </w:r>
    </w:p>
    <w:p>
      <w:r>
        <w:t>The manuscript also reports a planned replication-feasibility audit across related public OpenNeuro datasets. The designated replication dataset, ds005114, contained DPX task recordings rather than resting-state or auditory-oddball EEG, so none of the locked EEG features could be extracted with their preregistered definitions. Related datasets likewise did not match both the EEG paradigm/state and clinical outcome structure required for feature-identical replication.</w:t>
      </w:r>
    </w:p>
    <w:p>
      <w:r>
        <w:t>This submission should be of interest to readers concerned with clinical neurophysiology, traumatic brain injury prognosis, reproducible biomarker research, and leakage-safe machine learning. The contribution is not a positive biomarker claim, but a transparent example of how locked analyses, identity resolution, and explicit replication-feasibility assessment can prevent overinterpretation in small public EEG datasets.</w:t>
      </w:r>
    </w:p>
    <w:p>
      <w:r>
        <w:t>The data are publicly available through OpenNeuro. Analysis code and derived manuscript materials are available at https://github.com/blakepi/openneuro-tbi-eeg-biomarker-reanalysis and archived on Zenodo (DOI: 10.5281/zenodo.20682573). Raw EEG data are not redistributed. This secondary analysis used publicly available, deidentified data and was considered exempt from institutional review board review.</w:t>
      </w:r>
    </w:p>
    <w:p>
      <w:r>
        <w:t>I confirm that this manuscript is not under consideration elsewhere and has not been published previously. No funding was received for this work, and I declare no conflicts of interest.</w:t>
      </w:r>
    </w:p>
    <w:p>
      <w:pPr>
        <w:spacing w:before="240"/>
      </w:pPr>
      <w:r>
        <w:t>Sincerely,</w:t>
      </w:r>
    </w:p>
    <w:p>
      <w:r>
        <w:t>Gregory Blake Pierpoint</w:t>
      </w:r>
    </w:p>
    <w:p>
      <w:r>
        <w:t>Macon and Joan Brock Virginia Health Sciences, Eastern Virginia Medical School at Old Dominion University, Norfolk, Virginia, USA</w:t>
      </w:r>
    </w:p>
    <w:p>
      <w:r>
        <w:t>Email: pierpogb@odu.edu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cover_letter_cnp</dc:title>
  <dc:subject/>
  <dc:creator>Gregory Blake Pierpoint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