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Leakage-safe EEG reanalysis tested early mild TBI predictors.</w:t>
      </w:r>
    </w:p>
    <w:p>
      <w:pPr>
        <w:pStyle w:val="ListBullet"/>
      </w:pPr>
      <w:r>
        <w:t>No stable prediction of later symptom burden was found.</w:t>
      </w:r>
    </w:p>
    <w:p>
      <w:pPr>
        <w:pStyle w:val="ListBullet"/>
      </w:pPr>
      <w:r>
        <w:t>A secondary P3b symptom-change result is hypothesis-generating.</w:t>
      </w:r>
    </w:p>
    <w:p>
      <w:pPr>
        <w:pStyle w:val="ListBullet"/>
      </w:pPr>
      <w:r>
        <w:t>Public datasets did not permit feature-identical replication.</w:t>
      </w:r>
    </w:p>
    <w:p>
      <w:pPr>
        <w:pStyle w:val="ListBullet"/>
      </w:pPr>
      <w:r>
        <w:t>Paradigm mismatch limited EEG biomarker validation.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highlights_cnp</dc:title>
  <dc:subject/>
  <dc:creator>Gregory Blake Pierpoint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