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THE CADENA ACT</w:t>
      </w:r>
    </w:p>
    <w:p>
      <w:pPr>
        <w:spacing w:before="40" w:after="200" w:line="264" w:lineRule="auto"/>
        <w:jc w:val="center"/>
      </w:pPr>
      <w:r>
        <w:rPr>
          <w:rFonts w:ascii="Arial" w:hAnsi="Arial" w:cs="Arial"/>
          <w:b/>
          <w:bCs/>
          <w:sz w:val="24"/>
          <w:szCs w:val="24"/>
        </w:rPr>
        <w:t xml:space="preserve">SENATE BILL NO. 1506; HOUSE BILL NOS. 6235, 6792, 6898, 6903, 7450, 7461, AND 7712, AND RELATED COUNTERPART MEASURES MANDATING PUBLIC DISCLOSURE THROUGH A DIGITAL BUDGET PORTAL</w:t>
      </w:r>
    </w:p>
    <w:p>
      <w:pPr>
        <w:spacing w:before="0" w:after="140" w:line="264" w:lineRule="auto"/>
        <w:jc w:val="both"/>
      </w:pPr>
      <w:r>
        <w:rPr>
          <w:rFonts w:ascii="Arial" w:hAnsi="Arial" w:cs="Arial"/>
          <w:sz w:val="20"/>
          <w:szCs w:val="20"/>
        </w:rPr>
        <w:t xml:space="preserve">The Union of Local Authorities of the Philippines (ULAP), as the national umbrella organization of local government units and local officials, supports the CADENA Act as a measure to strengthen fiscal transparency, improve public access to budget and procurement information, and reduce the distance between citizens and the use of public funds.</w:t>
      </w:r>
    </w:p>
    <w:p>
      <w:pPr>
        <w:spacing w:before="0" w:after="140" w:line="264" w:lineRule="auto"/>
        <w:jc w:val="both"/>
      </w:pPr>
      <w:r>
        <w:rPr>
          <w:rFonts w:ascii="Arial" w:hAnsi="Arial" w:cs="Arial"/>
          <w:sz w:val="20"/>
          <w:szCs w:val="20"/>
        </w:rPr>
        <w:t xml:space="preserve">ULAP’s support is premised on the importance of ensuring that implementation is practical, coordinated, and responsive to conditions on the ground. Digital transparency measures may be most effective when established as part of an integrated national public information system, rather than as a stand-alone posting requirement to be complied with separately by each LGU. A system that is aligned and interoperable with existing reporting mechanisms would help minimize duplication, while implementation timelines that take into account varying levels of digital readiness would support more meaningful compliance. In the same vein, it may be advisable for any sanctions framework to be applied only after the necessary platform, standard templates, and capacity-building support have been put in place, so that the measure promotes transparency without inadvertently burdening LGUs that are still addressing institutional and technical constraints.</w:t>
      </w:r>
    </w:p>
    <w:p>
      <w:pPr>
        <w:spacing w:before="0" w:after="140" w:line="264" w:lineRule="auto"/>
        <w:jc w:val="both"/>
      </w:pPr>
      <w:r>
        <w:rPr>
          <w:rFonts w:ascii="Arial" w:hAnsi="Arial" w:cs="Arial"/>
          <w:sz w:val="20"/>
          <w:szCs w:val="20"/>
        </w:rPr>
        <w:t xml:space="preserve">The pending measures differ on the coverage of agencies and LGUs, the data fields to be posted, timelines for disclosure, sanctions, the role of barangays, and the relationship of the proposed portal to existing systems. These are the points on which ULAP submits its comments.</w:t>
      </w:r>
    </w:p>
    <w:p>
      <w:pPr>
        <w:spacing w:before="0" w:after="140" w:line="264" w:lineRule="auto"/>
        <w:jc w:val="both"/>
      </w:pPr>
      <w:r>
        <w:rPr>
          <w:rFonts w:ascii="Arial" w:hAnsi="Arial" w:cs="Arial"/>
          <w:sz w:val="20"/>
          <w:szCs w:val="20"/>
        </w:rPr>
        <w:t xml:space="preserve">The scale of local implementation is significant. LGUs do not have the same connectivity, staffing, document management practices, cybersecurity resources, or local information systems. Some already maintain active websites and digital financial reporting channels. Others rely on manual records, shared devices, or intermittent connectivity. A uniform transparency objective is proper; a uniform assumption of readiness is not.</w:t>
      </w:r>
    </w:p>
    <w:p>
      <w:pPr>
        <w:spacing w:before="0" w:after="140" w:line="264" w:lineRule="auto"/>
        <w:jc w:val="both"/>
      </w:pPr>
      <w:r>
        <w:rPr>
          <w:rFonts w:ascii="Arial" w:hAnsi="Arial" w:cs="Arial"/>
          <w:sz w:val="20"/>
          <w:szCs w:val="20"/>
        </w:rPr>
        <w:t xml:space="preserve">LGUs already submit or disclose overlapping information through DILG full disclosure mechanisms, DBM and BLGF reporting platforms, COA audits, PhilGEPS, local websites, procurement notices, annual investment plans, local budget documents, and local development council records. CADENA should reduce fragmentation by allowing upload-once, use-many disclosure. It should not require LGUs to encode the same data repeatedly under different formats.</w:t>
      </w:r>
    </w:p>
    <w:p>
      <w:pPr>
        <w:keepNext/>
        <w:spacing w:before="220" w:after="100" w:line="264" w:lineRule="auto"/>
        <w:jc w:val="left"/>
      </w:pPr>
      <w:r>
        <w:rPr>
          <w:rFonts w:ascii="Arial" w:hAnsi="Arial" w:cs="Arial"/>
          <w:b/>
          <w:bCs/>
          <w:sz w:val="20"/>
          <w:szCs w:val="20"/>
        </w:rPr>
        <w:t xml:space="preserve">ULAP’s Comments and Recommendations</w:t>
      </w:r>
    </w:p>
    <w:p>
      <w:pPr>
        <w:keepNext/>
        <w:spacing w:before="180" w:after="90" w:line="264" w:lineRule="auto"/>
        <w:jc w:val="both"/>
      </w:pPr>
      <w:r>
        <w:rPr>
          <w:rFonts w:ascii="Arial" w:hAnsi="Arial" w:cs="Arial"/>
          <w:b/>
          <w:bCs/>
          <w:sz w:val="20"/>
          <w:szCs w:val="20"/>
        </w:rPr>
        <w:t xml:space="preserve">1. Provide a single interoperable platform maintained by national government.</w:t>
      </w:r>
    </w:p>
    <w:p>
      <w:pPr>
        <w:spacing w:before="0" w:after="140" w:line="264" w:lineRule="auto"/>
        <w:jc w:val="both"/>
      </w:pPr>
      <w:r>
        <w:rPr>
          <w:rFonts w:ascii="Arial" w:hAnsi="Arial" w:cs="Arial"/>
          <w:sz w:val="20"/>
          <w:szCs w:val="20"/>
        </w:rPr>
        <w:t xml:space="preserve">The law should require the national government to provide a single interoperable platform, or at minimum a common application programming interface, through which LGUs can upload standardized budget, procurement, project, and financial information. LGUs should not be required to procure separate local software as a condition for compliance. The national system should be maintained, secured, and updated by the appropriate national agency.</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The national government shall provide and maintain a secure, interoperable digital disclosure platform, including standardized templates and application programming interfaces, for the submission and publication of covered budget, procurement, project, and financial information. No local government unit shall be required to procure a separate digital platform as a condition for compliance.</w:t>
      </w:r>
    </w:p>
    <w:p>
      <w:pPr>
        <w:keepNext/>
        <w:spacing w:before="180" w:after="90" w:line="264" w:lineRule="auto"/>
        <w:jc w:val="both"/>
      </w:pPr>
      <w:r>
        <w:rPr>
          <w:rFonts w:ascii="Arial" w:hAnsi="Arial" w:cs="Arial"/>
          <w:b/>
          <w:bCs/>
          <w:sz w:val="20"/>
          <w:szCs w:val="20"/>
        </w:rPr>
        <w:t xml:space="preserve">2. Standardize and right-size disclosure templates.</w:t>
      </w:r>
    </w:p>
    <w:p>
      <w:pPr>
        <w:spacing w:before="0" w:after="140" w:line="264" w:lineRule="auto"/>
        <w:jc w:val="both"/>
      </w:pPr>
      <w:r>
        <w:rPr>
          <w:rFonts w:ascii="Arial" w:hAnsi="Arial" w:cs="Arial"/>
          <w:sz w:val="20"/>
          <w:szCs w:val="20"/>
        </w:rPr>
        <w:t xml:space="preserve">Disclosure templates should be standardized and proportionate. Provinces and highly urbanized cities may be able to publish more detailed project and budget analytics. Smaller municipalities and barangays should use simplified forms that capture essential information without requiring specialized fiscal or information technology staff. The law should authorize a minimum standard template across all LGU levels, income classes, and transaction complexities.</w:t>
      </w:r>
    </w:p>
    <w:p>
      <w:pPr>
        <w:keepNext/>
        <w:spacing w:before="180" w:after="90" w:line="264" w:lineRule="auto"/>
        <w:jc w:val="both"/>
      </w:pPr>
      <w:r>
        <w:rPr>
          <w:rFonts w:ascii="Arial" w:hAnsi="Arial" w:cs="Arial"/>
          <w:b/>
          <w:bCs/>
          <w:sz w:val="20"/>
          <w:szCs w:val="20"/>
        </w:rPr>
        <w:t xml:space="preserve">3. Phase in compliance according to readiness.</w:t>
      </w:r>
    </w:p>
    <w:p>
      <w:pPr>
        <w:spacing w:before="0" w:after="140" w:line="264" w:lineRule="auto"/>
        <w:jc w:val="both"/>
      </w:pPr>
      <w:r>
        <w:rPr>
          <w:rFonts w:ascii="Arial" w:hAnsi="Arial" w:cs="Arial"/>
          <w:sz w:val="20"/>
          <w:szCs w:val="20"/>
        </w:rPr>
        <w:t xml:space="preserve">Compliance should be phased. Provinces, highly urbanized cities, independent component cities, component cities, and higher-income municipalities may comply earlier. Lower-income municipalities and barangays should receive a reasonable transition, mandatory training, help desk support, user credentials, and sample uploads. The phase-in period should be based on system readiness, not merely the date of effectivity.</w:t>
      </w:r>
    </w:p>
    <w:p>
      <w:pPr>
        <w:keepNext/>
        <w:spacing w:before="180" w:after="90" w:line="264" w:lineRule="auto"/>
        <w:jc w:val="both"/>
      </w:pPr>
      <w:r>
        <w:rPr>
          <w:rFonts w:ascii="Arial" w:hAnsi="Arial" w:cs="Arial"/>
          <w:b/>
          <w:bCs/>
          <w:sz w:val="20"/>
          <w:szCs w:val="20"/>
        </w:rPr>
        <w:t xml:space="preserve">4. Fund digitization and local capacity.</w:t>
      </w:r>
    </w:p>
    <w:p>
      <w:pPr>
        <w:spacing w:before="0" w:after="140" w:line="264" w:lineRule="auto"/>
        <w:jc w:val="both"/>
      </w:pPr>
      <w:r>
        <w:rPr>
          <w:rFonts w:ascii="Arial" w:hAnsi="Arial" w:cs="Arial"/>
          <w:sz w:val="20"/>
          <w:szCs w:val="20"/>
        </w:rPr>
        <w:t xml:space="preserve">National funding should cover digitization, scanning, data encoding, storage, cybersecurity, data protection compliance, website hosting where needed, and training for local budget officers, treasurers, accountants, procurement personnel, planning officers, and information officers.</w:t>
      </w:r>
    </w:p>
    <w:p>
      <w:pPr>
        <w:keepNext/>
        <w:spacing w:before="180" w:after="90" w:line="264" w:lineRule="auto"/>
        <w:jc w:val="both"/>
      </w:pPr>
      <w:r>
        <w:rPr>
          <w:rFonts w:ascii="Arial" w:hAnsi="Arial" w:cs="Arial"/>
          <w:b/>
          <w:bCs/>
          <w:sz w:val="20"/>
          <w:szCs w:val="20"/>
        </w:rPr>
        <w:t xml:space="preserve">5. Calibrate sanctions to willful non-compliance.</w:t>
      </w:r>
    </w:p>
    <w:p>
      <w:pPr>
        <w:spacing w:before="0" w:after="140" w:line="264" w:lineRule="auto"/>
        <w:jc w:val="both"/>
      </w:pPr>
      <w:r>
        <w:rPr>
          <w:rFonts w:ascii="Arial" w:hAnsi="Arial" w:cs="Arial"/>
          <w:sz w:val="20"/>
          <w:szCs w:val="20"/>
        </w:rPr>
        <w:t xml:space="preserve">Sanctions should be calibrated. Penalties should attach to willful refusal, deliberate concealment, falsification, or repeated non-compliance after notice and assistance. Sanctions should not attach where the national platform is unavailable, templates have not been issued, user credentials have not been released, connectivity failure is documented, a cyber incident occurs, or the concerned LGU is still within an approved transition period.</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Compliance by local government units shall be phased according to LGU level, income class, connectivity, and digital readiness. No administrative sanction shall be imposed on an LGU or local official until the required platform, templates, user credentials, training materials, help desk support, and applicable data standards have been issued and made available. Sanctions shall apply only to willful refusal, concealment, falsification, or unjustified repeated non-compliance after notice and technical assistance.</w:t>
      </w:r>
    </w:p>
    <w:p>
      <w:pPr>
        <w:keepNext/>
        <w:spacing w:before="180" w:after="90" w:line="264" w:lineRule="auto"/>
        <w:jc w:val="both"/>
      </w:pPr>
      <w:r>
        <w:rPr>
          <w:rFonts w:ascii="Arial" w:hAnsi="Arial" w:cs="Arial"/>
          <w:b/>
          <w:bCs/>
          <w:sz w:val="20"/>
          <w:szCs w:val="20"/>
        </w:rPr>
        <w:t xml:space="preserve">6. Harmonize disclosure with the Data Privacy Act and lawful confidentiality.</w:t>
      </w:r>
    </w:p>
    <w:p>
      <w:pPr>
        <w:spacing w:before="0" w:after="140" w:line="264" w:lineRule="auto"/>
        <w:jc w:val="both"/>
      </w:pPr>
      <w:r>
        <w:rPr>
          <w:rFonts w:ascii="Arial" w:hAnsi="Arial" w:cs="Arial"/>
          <w:sz w:val="20"/>
          <w:szCs w:val="20"/>
        </w:rPr>
        <w:t xml:space="preserve">The law must harmonize disclosure with the Data Privacy Act, procurement confidentiality, legitimate redaction, national security exceptions, law enforcement sensitivity, and personal safety risks. The default should be disclosure of public financial information. The method should still protect personal data, bank account details, home addresses, signatures, minors’ information, and confidential security-sensitive records.</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transparency that citizens can use and LGUs can implement. CADENA will work best if it builds a common public information architecture, not a new layer of compliance built on unequal local capacity.</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