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1980" w:lineRule="exact"/>
        <w:jc w:val="left"/>
      </w:pPr>
    </w:p>
    <w:p>
      <w:pPr>
        <w:spacing w:before="0" w:after="40" w:line="264" w:lineRule="auto"/>
        <w:jc w:val="center"/>
      </w:pPr>
      <w:r>
        <w:rPr>
          <w:rFonts w:ascii="Arial" w:hAnsi="Arial" w:cs="Arial"/>
          <w:b/>
          <w:bCs/>
          <w:sz w:val="24"/>
          <w:szCs w:val="24"/>
        </w:rPr>
        <w:t xml:space="preserve">POSITION PAPER ON THE PROPOSED AMENDMENTS TO REPUBLIC ACT NO. 11310,</w:t>
      </w:r>
    </w:p>
    <w:p>
      <w:pPr>
        <w:spacing w:before="40" w:after="200" w:line="264" w:lineRule="auto"/>
        <w:jc w:val="center"/>
      </w:pPr>
      <w:r>
        <w:rPr>
          <w:rFonts w:ascii="Arial" w:hAnsi="Arial" w:cs="Arial"/>
          <w:b/>
          <w:bCs/>
          <w:sz w:val="24"/>
          <w:szCs w:val="24"/>
        </w:rPr>
        <w:t xml:space="preserve">THE PANTAWID PAMILYANG PILIPINO PROGRAM ACT</w:t>
      </w:r>
    </w:p>
    <w:p>
      <w:pPr>
        <w:spacing w:before="0" w:after="140" w:line="264" w:lineRule="auto"/>
        <w:jc w:val="both"/>
      </w:pPr>
      <w:r>
        <w:rPr>
          <w:rFonts w:ascii="Arial" w:hAnsi="Arial" w:cs="Arial"/>
          <w:sz w:val="20"/>
          <w:szCs w:val="20"/>
        </w:rPr>
        <w:t xml:space="preserve">The Union of Local Authorities of the Philippines (ULAP), as the umbrella organization of the leagues of local government units (LGUs) and local officials across the country, supports efforts to strengthen the Pantawid Pamilyang Pilipino Program (4Ps) under Republic Act No. 11310. The Program remains one of the State’s principal social protection measures. Because its implementation is experienced by households through barangays, local social welfare and development offices, schools, health facilities, local employment services, and local disaster-response systems, any amendment to the 4Ps law must be not only socially sound but administratively workable at the local level.</w:t>
      </w:r>
    </w:p>
    <w:p>
      <w:pPr>
        <w:spacing w:before="0" w:after="140" w:line="264" w:lineRule="auto"/>
        <w:jc w:val="both"/>
      </w:pPr>
      <w:r>
        <w:rPr>
          <w:rFonts w:ascii="Arial" w:hAnsi="Arial" w:cs="Arial"/>
          <w:sz w:val="20"/>
          <w:szCs w:val="20"/>
        </w:rPr>
        <w:t xml:space="preserve">ULAP recognizes the objectives behind the proposed amendments, particularly the effort to improve beneficiary targeting, strengthen case management, refine graduation and compliance rules, and make the Program more responsive to changing household conditions. To improve operationalization and preserve effective intergovernmental coordination, ULAP respectfully submits the following comments and recommendations.</w:t>
      </w:r>
    </w:p>
    <w:p>
      <w:pPr>
        <w:keepNext/>
        <w:spacing w:before="220" w:after="100" w:line="264" w:lineRule="auto"/>
        <w:jc w:val="left"/>
      </w:pPr>
      <w:r>
        <w:rPr>
          <w:rFonts w:ascii="Arial" w:hAnsi="Arial" w:cs="Arial"/>
          <w:b/>
          <w:bCs/>
          <w:sz w:val="20"/>
          <w:szCs w:val="20"/>
        </w:rPr>
        <w:t xml:space="preserve">ULAP’s Comments and Recommendations</w:t>
      </w:r>
    </w:p>
    <w:p>
      <w:pPr>
        <w:keepNext/>
        <w:spacing w:before="180" w:after="90" w:line="264" w:lineRule="auto"/>
        <w:jc w:val="both"/>
      </w:pPr>
      <w:r>
        <w:rPr>
          <w:rFonts w:ascii="Arial" w:hAnsi="Arial" w:cs="Arial"/>
          <w:b/>
          <w:bCs/>
          <w:sz w:val="20"/>
          <w:szCs w:val="20"/>
        </w:rPr>
        <w:t xml:space="preserve">1. Clarify LGU functions in beneficiary management and local convergence.</w:t>
      </w:r>
    </w:p>
    <w:p>
      <w:pPr>
        <w:spacing w:before="0" w:after="140" w:line="264" w:lineRule="auto"/>
        <w:jc w:val="both"/>
      </w:pPr>
      <w:r>
        <w:rPr>
          <w:rFonts w:ascii="Arial" w:hAnsi="Arial" w:cs="Arial"/>
          <w:sz w:val="20"/>
          <w:szCs w:val="20"/>
        </w:rPr>
        <w:t xml:space="preserve">The current direction of the proposed amendments, as reflected in the existing ULAP working draft and related briefing materials, assumes continued LGU participation in validation, case referral, grievance facilitation, family development support, and local convergence. Where local functions are implied rather than clearly defined, accountability becomes blurred and LGUs can be expected to absorb program tasks without clear authority, systems access, or support.</w:t>
      </w:r>
    </w:p>
    <w:p>
      <w:pPr>
        <w:spacing w:before="0" w:after="140" w:line="264" w:lineRule="auto"/>
        <w:jc w:val="both"/>
      </w:pPr>
      <w:r>
        <w:rPr>
          <w:rFonts w:ascii="Arial" w:hAnsi="Arial" w:cs="Arial"/>
          <w:sz w:val="20"/>
          <w:szCs w:val="20"/>
        </w:rPr>
        <w:t xml:space="preserve">The law should expressly preserve the Department of Social Welfare and Development (DSWD) as lead agency for targeting, payment administration, national standards, and final determinations on suspension, delisting, and graduation, while clearly defining LGU roles as supportive and convergence-oriented functions.</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The Department of Social Welfare and Development shall remain the lead agency for beneficiary targeting, payment administration, national database management, program standards, and decisions on suspension, delisting, and graduation. Local government units may assist in validation support, case referral, complementary social service delivery, grievance facilitation, local convergence, and transition planning, in accordance with national standards and subject to appropriate operational support.</w:t>
      </w:r>
    </w:p>
    <w:p>
      <w:pPr>
        <w:keepNext/>
        <w:spacing w:before="180" w:after="90" w:line="264" w:lineRule="auto"/>
        <w:jc w:val="both"/>
      </w:pPr>
      <w:r>
        <w:rPr>
          <w:rFonts w:ascii="Arial" w:hAnsi="Arial" w:cs="Arial"/>
          <w:b/>
          <w:bCs/>
          <w:sz w:val="20"/>
          <w:szCs w:val="20"/>
        </w:rPr>
        <w:t xml:space="preserve">2. Create a structured channel for validated local inputs.</w:t>
      </w:r>
    </w:p>
    <w:p>
      <w:pPr>
        <w:spacing w:before="0" w:after="140" w:line="264" w:lineRule="auto"/>
        <w:jc w:val="both"/>
      </w:pPr>
      <w:r>
        <w:rPr>
          <w:rFonts w:ascii="Arial" w:hAnsi="Arial" w:cs="Arial"/>
          <w:sz w:val="20"/>
          <w:szCs w:val="20"/>
        </w:rPr>
        <w:t xml:space="preserve">Poverty and vulnerability are dynamic. Household conditions may materially change because of illness, disaster, displacement, disability, family disruption, or loss of livelihood. A purely periodic or exclusively national update process can lag behind actual local conditions, particularly after shocks that are first recorded by barangays, local social welfare offices, schools, health units, and local disaster-risk offices.</w:t>
      </w:r>
    </w:p>
    <w:p>
      <w:pPr>
        <w:spacing w:before="0" w:after="140" w:line="264" w:lineRule="auto"/>
        <w:jc w:val="both"/>
      </w:pPr>
      <w:r>
        <w:rPr>
          <w:rFonts w:ascii="Arial" w:hAnsi="Arial" w:cs="Arial"/>
          <w:sz w:val="20"/>
          <w:szCs w:val="20"/>
        </w:rPr>
        <w:t xml:space="preserve">The amendments should preserve the integrity of Listahanan and the national 4Ps database, but establish a structured mechanism through which validated local information can trigger review and updating by DSWD. Congress may also consider requiring interoperability, or at least data harmonization, across major social assistance programs so that the same household is not repeatedly subjected to fragmented intake and verification systems.</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Listahanan and other authorized national poverty targeting systems shall remain the principal basis for eligibility determination. The Department of Social Welfare and Development shall, however, establish a formal mechanism for the receipt, validation, and timely assessment of verified local inputs from barangays and local government units on residence, family composition, disability, pregnancy, displacement, school attendance, health compliance, and disaster impact, subject to uniform national standards.</w:t>
      </w:r>
    </w:p>
    <w:p>
      <w:pPr>
        <w:keepNext/>
        <w:spacing w:before="180" w:after="90" w:line="264" w:lineRule="auto"/>
        <w:jc w:val="both"/>
      </w:pPr>
      <w:r>
        <w:rPr>
          <w:rFonts w:ascii="Arial" w:hAnsi="Arial" w:cs="Arial"/>
          <w:b/>
          <w:bCs/>
          <w:sz w:val="20"/>
          <w:szCs w:val="20"/>
        </w:rPr>
        <w:t xml:space="preserve">3. Strengthen due process for suspension, delisting, and graduation.</w:t>
      </w:r>
    </w:p>
    <w:p>
      <w:pPr>
        <w:spacing w:before="0" w:after="140" w:line="264" w:lineRule="auto"/>
        <w:jc w:val="both"/>
      </w:pPr>
      <w:r>
        <w:rPr>
          <w:rFonts w:ascii="Arial" w:hAnsi="Arial" w:cs="Arial"/>
          <w:sz w:val="20"/>
          <w:szCs w:val="20"/>
        </w:rPr>
        <w:t xml:space="preserve">Suspension, delisting, and graduation decisions have immediate consequences at community level. When notice is unclear, delayed, or not understandable to beneficiaries, the burden of explaining the action and managing the resulting social tension often falls on local officials and frontline local staff. A stronger due-process framework is therefore not merely a beneficiary protection issue; it is also an implementation-stability issue for LGUs.</w:t>
      </w:r>
    </w:p>
    <w:p>
      <w:pPr>
        <w:spacing w:before="0" w:after="140" w:line="264" w:lineRule="auto"/>
        <w:jc w:val="both"/>
      </w:pPr>
      <w:r>
        <w:rPr>
          <w:rFonts w:ascii="Arial" w:hAnsi="Arial" w:cs="Arial"/>
          <w:sz w:val="20"/>
          <w:szCs w:val="20"/>
        </w:rPr>
        <w:t xml:space="preserve">The law should require prior notice, a clear statement of grounds, a reasonable opportunity to respond, and an accessible grievance and review process before suspension, delisting, or graduation takes effect, except in narrowly defined fraud or emergency circumstances authorized by law.</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No beneficiary household shall be suspended, delisted, or graduated from the Program without prior notice in an understandable form, a clear statement of the factual and legal basis for the proposed action, a reasonable opportunity to respond, and access to an appropriate grievance and review mechanism. Local government units may assist in facilitating local access to such processes, while final determinations shall remain with the Department of Social Welfare and Development or its duly authorized field offices.</w:t>
      </w:r>
    </w:p>
    <w:p>
      <w:pPr>
        <w:keepNext/>
        <w:spacing w:before="180" w:after="90" w:line="264" w:lineRule="auto"/>
        <w:jc w:val="both"/>
      </w:pPr>
      <w:r>
        <w:rPr>
          <w:rFonts w:ascii="Arial" w:hAnsi="Arial" w:cs="Arial"/>
          <w:b/>
          <w:bCs/>
          <w:sz w:val="20"/>
          <w:szCs w:val="20"/>
        </w:rPr>
        <w:t xml:space="preserve">4. Link graduation to transition planning and local service convergence.</w:t>
      </w:r>
    </w:p>
    <w:p>
      <w:pPr>
        <w:spacing w:before="0" w:after="140" w:line="264" w:lineRule="auto"/>
        <w:jc w:val="both"/>
      </w:pPr>
      <w:r>
        <w:rPr>
          <w:rFonts w:ascii="Arial" w:hAnsi="Arial" w:cs="Arial"/>
          <w:sz w:val="20"/>
          <w:szCs w:val="20"/>
        </w:rPr>
        <w:t xml:space="preserve">A household may satisfy formal graduation indicators and still remain highly vulnerable to relapse, especially where income gains are unstable or where the household is exposed to recurring shocks. Without a transition plan, graduation can become a statistical exit rather than a durable path to self-sufficiency. The effects of premature exit are then felt in local welfare, health, education, and employment systems.</w:t>
      </w:r>
    </w:p>
    <w:p>
      <w:pPr>
        <w:spacing w:before="0" w:after="140" w:line="264" w:lineRule="auto"/>
        <w:jc w:val="both"/>
      </w:pPr>
      <w:r>
        <w:rPr>
          <w:rFonts w:ascii="Arial" w:hAnsi="Arial" w:cs="Arial"/>
          <w:sz w:val="20"/>
          <w:szCs w:val="20"/>
        </w:rPr>
        <w:t xml:space="preserve">Graduation should be linked to a structured transition process involving DSWD and relevant LGUs, including referrals to livelihood, employment, alternative learning, skills training, nutrition, health, and disaster-recovery support as applicable. This is also where LGU PESOs, local social welfare offices, and other local mechanisms can add value without displacing national program leadership.</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A beneficiary household assessed as ready for graduation shall be provided a transition plan identifying appropriate post-program support, including livelihood, employment facilitation, education, health, nutrition, and other convergence interventions, in coordination with relevant local government units and national agencies, as may be applicable to the household’s circumstances.</w:t>
      </w:r>
    </w:p>
    <w:p>
      <w:pPr>
        <w:keepNext/>
        <w:spacing w:before="180" w:after="90" w:line="264" w:lineRule="auto"/>
        <w:jc w:val="both"/>
      </w:pPr>
      <w:r>
        <w:rPr>
          <w:rFonts w:ascii="Arial" w:hAnsi="Arial" w:cs="Arial"/>
          <w:b/>
          <w:bCs/>
          <w:sz w:val="20"/>
          <w:szCs w:val="20"/>
        </w:rPr>
        <w:t xml:space="preserve">5. Allow privacy-protected data sharing without parallel local registries.</w:t>
      </w:r>
    </w:p>
    <w:p>
      <w:pPr>
        <w:spacing w:before="0" w:after="140" w:line="264" w:lineRule="auto"/>
        <w:jc w:val="both"/>
      </w:pPr>
      <w:r>
        <w:rPr>
          <w:rFonts w:ascii="Arial" w:hAnsi="Arial" w:cs="Arial"/>
          <w:sz w:val="20"/>
          <w:szCs w:val="20"/>
        </w:rPr>
        <w:t xml:space="preserve">LGUs need sufficient beneficiary information to coordinate health, nutrition, education, livelihood, and disaster-response interventions. At the same time, overbroad or poorly governed data-sharing can create privacy risks, while requiring LGUs to maintain separate shadow registries can lead to duplication, inconsistency, and administrative confusion.</w:t>
      </w:r>
    </w:p>
    <w:p>
      <w:pPr>
        <w:spacing w:before="0" w:after="140" w:line="264" w:lineRule="auto"/>
        <w:jc w:val="both"/>
      </w:pPr>
      <w:r>
        <w:rPr>
          <w:rFonts w:ascii="Arial" w:hAnsi="Arial" w:cs="Arial"/>
          <w:sz w:val="20"/>
          <w:szCs w:val="20"/>
        </w:rPr>
        <w:t xml:space="preserve">The amendments should authorize minimum-necessary data-sharing with LGUs for service coordination, subject to written protocols, role-based access, audit trails, and full compliance with the Data Privacy Act. The law should also discourage duplicative local recordkeeping systems that replicate or conflict with the official beneficiary registry.</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The Department of Social Welfare and Development may share with local government units the minimum necessary beneficiary information required for health, education, nutrition, livelihood, disaster response, and social welfare convergence, subject to the Data Privacy Act of 2012, written data-sharing protocols, and appropriate safeguards against unauthorized use, disclosure, or duplication of records.</w:t>
      </w:r>
    </w:p>
    <w:p>
      <w:pPr>
        <w:keepNext/>
        <w:spacing w:before="180" w:after="90" w:line="264" w:lineRule="auto"/>
        <w:jc w:val="both"/>
      </w:pPr>
      <w:r>
        <w:rPr>
          <w:rFonts w:ascii="Arial" w:hAnsi="Arial" w:cs="Arial"/>
          <w:b/>
          <w:bCs/>
          <w:sz w:val="20"/>
          <w:szCs w:val="20"/>
        </w:rPr>
        <w:t xml:space="preserve">6. Fund local participation and avoid unfunded mandates.</w:t>
      </w:r>
    </w:p>
    <w:p>
      <w:pPr>
        <w:spacing w:before="0" w:after="140" w:line="264" w:lineRule="auto"/>
        <w:jc w:val="both"/>
      </w:pPr>
      <w:r>
        <w:rPr>
          <w:rFonts w:ascii="Arial" w:hAnsi="Arial" w:cs="Arial"/>
          <w:sz w:val="20"/>
          <w:szCs w:val="20"/>
        </w:rPr>
        <w:t xml:space="preserve">Local participation in validation, grievance assistance, case conferencing, records handling, referral work, and convergence activities requires personnel time, transport, connectivity, and administrative resources. If the law expands or formalizes these functions without corresponding support, the result is an underfunded mandate that will fall unevenly across provinces, cities, municipalities, and barangays.</w:t>
      </w:r>
    </w:p>
    <w:p>
      <w:pPr>
        <w:spacing w:before="0" w:after="140" w:line="264" w:lineRule="auto"/>
        <w:jc w:val="both"/>
      </w:pPr>
      <w:r>
        <w:rPr>
          <w:rFonts w:ascii="Arial" w:hAnsi="Arial" w:cs="Arial"/>
          <w:sz w:val="20"/>
          <w:szCs w:val="20"/>
        </w:rPr>
        <w:t xml:space="preserve">Congress should provide for operational support, digital access, capacity-building, and, where appropriate, reimbursement or program assistance for locally performed tasks required by the national program design.</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Where local government units are required or formally engaged to perform functions in support of Program implementation, the Department of Social Welfare and Development shall provide appropriate technical, digital, and operational support, subject to applicable budgeting and auditing rules, including the development of standard systems, forms, and coordination protocols.</w:t>
      </w:r>
    </w:p>
    <w:p>
      <w:pPr>
        <w:keepNext/>
        <w:spacing w:before="180" w:after="90" w:line="264" w:lineRule="auto"/>
        <w:jc w:val="both"/>
      </w:pPr>
      <w:r>
        <w:rPr>
          <w:rFonts w:ascii="Arial" w:hAnsi="Arial" w:cs="Arial"/>
          <w:b/>
          <w:bCs/>
          <w:sz w:val="20"/>
          <w:szCs w:val="20"/>
        </w:rPr>
        <w:t xml:space="preserve">7. Add an interoperable household convergence mechanism.</w:t>
      </w:r>
    </w:p>
    <w:p>
      <w:pPr>
        <w:spacing w:before="0" w:after="140" w:line="264" w:lineRule="auto"/>
        <w:jc w:val="both"/>
      </w:pPr>
      <w:r>
        <w:rPr>
          <w:rFonts w:ascii="Arial" w:hAnsi="Arial" w:cs="Arial"/>
          <w:sz w:val="20"/>
          <w:szCs w:val="20"/>
        </w:rPr>
        <w:t xml:space="preserve">Social assistance and poverty-reduction interventions remain fragmented across multiple programs, including 4Ps, AICS, AKAP, TUPAD, local livelihood efforts, adult education, and other sectoral initiatives. Fragmentation increases administrative duplication, weakens accountability for household outcomes, and creates room for politically mediated access rather than rules-based convergence.</w:t>
      </w:r>
    </w:p>
    <w:p>
      <w:pPr>
        <w:spacing w:before="0" w:after="140" w:line="264" w:lineRule="auto"/>
        <w:jc w:val="both"/>
      </w:pPr>
      <w:r>
        <w:rPr>
          <w:rFonts w:ascii="Arial" w:hAnsi="Arial" w:cs="Arial"/>
          <w:sz w:val="20"/>
          <w:szCs w:val="20"/>
        </w:rPr>
        <w:t xml:space="preserve">The amendments should direct DSWD to establish an interoperable household convergence mechanism that can be used, at minimum, to coordinate case management, transition planning, and local referral pathways. For adult beneficiaries, Congress may also consider stronger linkages with PESOs, TESDA, ALS, and local enterprise and livelihood networks so that graduation is connected to actual local opportunity systems.</w:t>
      </w:r>
    </w:p>
    <w:p>
      <w:pPr>
        <w:ind w:left="720" w:right="360"/>
        <w:spacing w:before="90" w:after="140" w:line="264" w:lineRule="auto"/>
        <w:jc w:val="both"/>
      </w:pPr>
      <w:r>
        <w:rPr>
          <w:rFonts w:ascii="Arial" w:hAnsi="Arial" w:cs="Arial"/>
          <w:b/>
          <w:bCs/>
          <w:sz w:val="20"/>
          <w:szCs w:val="20"/>
        </w:rPr>
        <w:t xml:space="preserve">Suggested language:</w:t>
      </w:r>
      <w:r>
        <w:rPr>
          <w:rFonts w:ascii="Arial" w:hAnsi="Arial" w:cs="Arial"/>
          <w:sz w:val="20"/>
          <w:szCs w:val="20"/>
        </w:rPr>
        <w:t xml:space="preserve"> </w:t>
      </w:r>
      <w:r>
        <w:rPr>
          <w:rFonts w:ascii="Arial" w:hAnsi="Arial" w:cs="Arial"/>
          <w:i/>
          <w:iCs/>
          <w:sz w:val="20"/>
          <w:szCs w:val="20"/>
        </w:rPr>
        <w:t xml:space="preserve">The Department of Social Welfare and Development shall develop an interoperable household convergence and referral mechanism for Pantawid Pamilyang Pilipino Program beneficiaries, in coordination with relevant national agencies and local government units, for the purpose of case management, transition support, employment and livelihood referral, and the harmonization of complementary social protection interventions.</w:t>
      </w:r>
    </w:p>
    <w:p>
      <w:pPr>
        <w:keepNext/>
        <w:spacing w:before="220" w:after="100" w:line="264" w:lineRule="auto"/>
        <w:jc w:val="left"/>
      </w:pPr>
      <w:r>
        <w:rPr>
          <w:rFonts w:ascii="Arial" w:hAnsi="Arial" w:cs="Arial"/>
          <w:b/>
          <w:bCs/>
          <w:sz w:val="20"/>
          <w:szCs w:val="20"/>
        </w:rPr>
        <w:t xml:space="preserve">Closing</w:t>
      </w:r>
    </w:p>
    <w:p>
      <w:pPr>
        <w:spacing w:before="0" w:after="140" w:line="264" w:lineRule="auto"/>
        <w:jc w:val="both"/>
      </w:pPr>
      <w:r>
        <w:rPr>
          <w:rFonts w:ascii="Arial" w:hAnsi="Arial" w:cs="Arial"/>
          <w:sz w:val="20"/>
          <w:szCs w:val="20"/>
        </w:rPr>
        <w:t xml:space="preserve">ULAP supports amendments that will make the 4Ps more accurate, fair, shock-responsive, and administratively workable. The strongest reforms will be those that preserve national program coherence while recognizing that implementation ultimately succeeds or fails in local settings. A sound amendment measure should protect due process, respect lawful local participation, avoid unfunded mandates, and convert national social protection goals into clear, coordinated, and supportable arrangements on the ground.</w:t>
      </w:r>
    </w:p>
    <w:sectPr>
      <w:headerReference r:id="rId6" w:type="first"/>
      <w:footerReference r:id="rId7" w:type="first"/>
      <w:headerReference r:id="rId8" w:type="default"/>
      <w:footerReference r:id="rId9" w:type="default"/>
      <w:pgSz w:h="16838" w:w="11906" w:orient="portrait"/>
      <w:pgMar w:bottom="2160" w:top="1440" w:left="1440" w:right="1440" w:header="720" w:footer="576"/>
      <w:pgNumType w:start="1"/>
      <w:titlePg/>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-962024</wp:posOffset>
          </wp:positionH>
          <wp:positionV relativeFrom="paragraph">
            <wp:posOffset>205787</wp:posOffset>
          </wp:positionV>
          <wp:extent cx="7762875" cy="933877"/>
          <wp:effectExtent b="0" l="0" r="0" t="0"/>
          <wp:wrapNone/>
          <wp:docPr id="2" name="image1.png"/>
          <a:graphic>
            <a:graphicData uri="http://schemas.openxmlformats.org/drawingml/2006/picture">
              <pic:pic>
                <pic:nvPicPr>
                  <pic:cNvPr id="0" name="image1.png"/>
                  <pic:cNvPicPr preferRelativeResize="0"/>
                </pic:nvPicPr>
                <pic:blipFill>
                  <a:blip r:embed="rId1"/>
                  <a:srcRect b="0" l="0" r="0" t="63954"/>
                  <a:stretch>
                    <a:fillRect/>
                  </a:stretch>
                </pic:blipFill>
                <pic:spPr>
                  <a:xfrm>
                    <a:off x="0" y="0"/>
                    <a:ext cx="7762875" cy="933877"/>
                  </a:xfrm>
                  <a:prstGeom prst="rect"/>
                  <a:ln/>
                </pic:spPr>
              </pic:pic>
            </a:graphicData>
          </a:graphic>
        </wp:anchor>
      </w:drawing>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rPr/>
    </w:pPr>
    <w:r w:rsidDel="00000000" w:rsidR="00000000" w:rsidRPr="00000000">
      <w:rPr>
        <w:rtl w:val="0"/>
      </w:rPr>
    </w:r>
  </w:p>
</w:ftr>
</file>

<file path=word/footer2.xml><?xml version="1.0" encoding="utf-8"?>
<w:ftr xmlns:w="http://schemas.openxmlformats.org/wordprocessingml/2006/main">
  <w:p>
    <w:pPr>
      <w:pStyle w:val="Footer"/>
    </w:pP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2">
    <w:pPr>
      <w:tabs>
        <w:tab w:val="center" w:leader="none" w:pos="4680"/>
        <w:tab w:val="right" w:leader="none" w:pos="9360"/>
        <w:tab w:val="right" w:leader="none" w:pos="10184"/>
      </w:tabs>
      <w:spacing w:line="240" w:lineRule="auto"/>
      <w:jc w:val="center"/>
      <w:rPr>
        <w:sz w:val="7"/>
        <w:szCs w:val="7"/>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
              <a:graphic>
                <a:graphicData uri="http://schemas.microsoft.com/office/word/2010/wordprocessingGroup">
                  <wpg:wgp>
                    <wpg:cNvGrpSpPr/>
                    <wpg:grpSpPr>
                      <a:xfrm>
                        <a:off x="1414075" y="2974800"/>
                        <a:ext cx="8249383" cy="1671638"/>
                        <a:chOff x="1414075" y="2974800"/>
                        <a:chExt cx="7863850" cy="1610400"/>
                      </a:xfrm>
                    </wpg:grpSpPr>
                    <wpg:grpSp>
                      <wpg:cNvGrpSpPr/>
                      <wpg:grpSpPr>
                        <a:xfrm>
                          <a:off x="1414080" y="2974820"/>
                          <a:ext cx="7863840" cy="1610360"/>
                          <a:chOff x="1414075" y="2974800"/>
                          <a:chExt cx="7863850" cy="1610400"/>
                        </a:xfrm>
                      </wpg:grpSpPr>
                      <wps:wsp>
                        <wps:cNvSpPr/>
                        <wps:cNvPr id="3" name="Shape 3"/>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5" name="Shape 5"/>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7" name="Shape 7"/>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1414075" y="2974800"/>
                                <a:chExt cx="7863850" cy="1610400"/>
                              </a:xfrm>
                            </wpg:grpSpPr>
                            <wps:wsp>
                              <wps:cNvSpPr/>
                              <wps:cNvPr id="9" name="Shape 9"/>
                              <wps:spPr>
                                <a:xfrm>
                                  <a:off x="1414075" y="2974800"/>
                                  <a:ext cx="7863850" cy="16104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414080" y="2974820"/>
                                  <a:ext cx="7863840" cy="1610360"/>
                                  <a:chOff x="0" y="0"/>
                                  <a:chExt cx="7863840" cy="1610360"/>
                                </a:xfrm>
                              </wpg:grpSpPr>
                              <wps:wsp>
                                <wps:cNvSpPr/>
                                <wps:cNvPr id="11" name="Shape 11"/>
                                <wps:spPr>
                                  <a:xfrm>
                                    <a:off x="0" y="0"/>
                                    <a:ext cx="7863825" cy="16103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descr="A picture containing icon  Description automatically generated" id="12" name="Shape 12"/>
                                  <pic:cNvPicPr preferRelativeResize="0"/>
                                </pic:nvPicPr>
                                <pic:blipFill rotWithShape="1">
                                  <a:blip r:embed="rId1">
                                    <a:alphaModFix amt="50000"/>
                                  </a:blip>
                                  <a:srcRect b="0" l="0" r="0" t="0"/>
                                  <a:stretch/>
                                </pic:blipFill>
                                <pic:spPr>
                                  <a:xfrm flipH="1">
                                    <a:off x="95250" y="228600"/>
                                    <a:ext cx="7767955" cy="1247775"/>
                                  </a:xfrm>
                                  <a:prstGeom prst="rect">
                                    <a:avLst/>
                                  </a:prstGeom>
                                  <a:noFill/>
                                  <a:ln>
                                    <a:noFill/>
                                  </a:ln>
                                </pic:spPr>
                              </pic:pic>
                              <pic:pic>
                                <pic:nvPicPr>
                                  <pic:cNvPr descr="A picture containing icon  Description automatically generated" id="13" name="Shape 13"/>
                                  <pic:cNvPicPr preferRelativeResize="0"/>
                                </pic:nvPicPr>
                                <pic:blipFill rotWithShape="1">
                                  <a:blip r:embed="rId1">
                                    <a:alphaModFix amt="50000"/>
                                  </a:blip>
                                  <a:srcRect b="0" l="0" r="39356" t="0"/>
                                  <a:stretch/>
                                </pic:blipFill>
                                <pic:spPr>
                                  <a:xfrm>
                                    <a:off x="95250" y="222250"/>
                                    <a:ext cx="4705350" cy="1247775"/>
                                  </a:xfrm>
                                  <a:prstGeom prst="rect">
                                    <a:avLst/>
                                  </a:prstGeom>
                                  <a:noFill/>
                                  <a:ln>
                                    <a:noFill/>
                                  </a:ln>
                                </pic:spPr>
                              </pic:pic>
                              <pic:pic>
                                <pic:nvPicPr>
                                  <pic:cNvPr id="14" name="Shape 14"/>
                                  <pic:cNvPicPr preferRelativeResize="0"/>
                                </pic:nvPicPr>
                                <pic:blipFill rotWithShape="1">
                                  <a:blip r:embed="rId2">
                                    <a:alphaModFix/>
                                  </a:blip>
                                  <a:srcRect b="29036" l="0" r="0" t="2914"/>
                                  <a:stretch/>
                                </pic:blipFill>
                                <pic:spPr>
                                  <a:xfrm>
                                    <a:off x="990600" y="590550"/>
                                    <a:ext cx="5943600" cy="1019810"/>
                                  </a:xfrm>
                                  <a:prstGeom prst="rect">
                                    <a:avLst/>
                                  </a:prstGeom>
                                  <a:noFill/>
                                  <a:ln>
                                    <a:noFill/>
                                  </a:ln>
                                </pic:spPr>
                              </pic:pic>
                              <pic:pic>
                                <pic:nvPicPr>
                                  <pic:cNvPr descr="Background pattern  Description automatically generated" id="15" name="Shape 15"/>
                                  <pic:cNvPicPr preferRelativeResize="0"/>
                                </pic:nvPicPr>
                                <pic:blipFill rotWithShape="1">
                                  <a:blip r:embed="rId3">
                                    <a:alphaModFix/>
                                  </a:blip>
                                  <a:srcRect b="0" l="0" r="0" t="0"/>
                                  <a:stretch/>
                                </pic:blipFill>
                                <pic:spPr>
                                  <a:xfrm>
                                    <a:off x="0" y="0"/>
                                    <a:ext cx="7863840" cy="396875"/>
                                  </a:xfrm>
                                  <a:prstGeom prst="rect">
                                    <a:avLst/>
                                  </a:prstGeom>
                                  <a:noFill/>
                                  <a:ln>
                                    <a:noFill/>
                                  </a:ln>
                                </pic:spPr>
                              </pic:pic>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-1105632</wp:posOffset>
              </wp:positionH>
              <wp:positionV relativeFrom="paragraph">
                <wp:posOffset>-457199</wp:posOffset>
              </wp:positionV>
              <wp:extent cx="8249383" cy="1671638"/>
              <wp:effectExtent b="0" l="0" r="0" t="0"/>
              <wp:wrapSquare wrapText="bothSides" distB="0" distT="0" distL="114300" distR="114300"/>
              <wp:docPr id="1" name="image2.png"/>
              <a:graphic>
                <a:graphicData uri="http://schemas.openxmlformats.org/drawingml/2006/picture">
                  <pic:pic>
                    <pic:nvPicPr>
                      <pic:cNvPr id="0" name="image2.png"/>
                      <pic:cNvPicPr preferRelativeResize="0"/>
                    </pic:nvPicPr>
                    <pic:blipFill>
                      <a:blip r:embed="rId4"/>
                      <a:srcRect/>
                      <a:stretch>
                        <a:fillRect/>
                      </a:stretch>
                    </pic:blipFill>
                    <pic:spPr>
                      <a:xfrm>
                        <a:off x="0" y="0"/>
                        <a:ext cx="8249383" cy="1671638"/>
                      </a:xfrm>
                      <a:prstGeom prst="rect"/>
                      <a:ln/>
                    </pic:spPr>
                  </pic:pic>
                </a:graphicData>
              </a:graphic>
            </wp:anchor>
          </w:drawing>
        </mc:Fallback>
      </mc:AlternateContent>
    </w:r>
  </w:p>
  <w:p w:rsidR="00000000" w:rsidDel="00000000" w:rsidP="00000000" w:rsidRDefault="00000000" w:rsidRPr="00000000" w14:paraId="00000003">
    <w:pPr>
      <w:tabs>
        <w:tab w:val="center" w:leader="none" w:pos="4680"/>
        <w:tab w:val="right" w:leader="none" w:pos="9360"/>
        <w:tab w:val="right" w:leader="none" w:pos="10184"/>
      </w:tabs>
      <w:spacing w:line="240" w:lineRule="auto"/>
      <w:jc w:val="center"/>
      <w:rPr>
        <w:sz w:val="16"/>
        <w:szCs w:val="16"/>
      </w:rPr>
    </w:pPr>
    <w:r w:rsidDel="00000000" w:rsidR="00000000" w:rsidRPr="00000000">
      <w:rPr>
        <w:sz w:val="16"/>
        <w:szCs w:val="16"/>
        <w:rtl w:val="0"/>
      </w:rPr>
      <w:t xml:space="preserve">28F Unit 2803 Summit One Tower 530 Shaw Boulevard, Mandaluyong City</w:t>
    </w:r>
  </w:p>
  <w:p w:rsidR="00000000" w:rsidDel="00000000" w:rsidP="00000000" w:rsidRDefault="00000000" w:rsidRPr="00000000" w14:paraId="00000004">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Phone: </w:t>
    </w:r>
    <w:r w:rsidDel="00000000" w:rsidR="00000000" w:rsidRPr="00000000">
      <w:rPr>
        <w:sz w:val="16"/>
        <w:szCs w:val="16"/>
        <w:rtl w:val="0"/>
      </w:rPr>
      <w:t xml:space="preserve">(+63) 9189856659 </w:t>
    </w:r>
    <w:r w:rsidDel="00000000" w:rsidR="00000000" w:rsidRPr="00000000">
      <w:rPr>
        <w:b w:val="1"/>
        <w:bCs w:val="1"/>
        <w:sz w:val="16"/>
        <w:szCs w:val="16"/>
        <w:rtl w:val="0"/>
      </w:rPr>
      <w:t xml:space="preserve">E-Mail:</w:t>
    </w:r>
    <w:r w:rsidDel="00000000" w:rsidR="00000000" w:rsidRPr="00000000">
      <w:rPr>
        <w:sz w:val="16"/>
        <w:szCs w:val="16"/>
        <w:rtl w:val="0"/>
      </w:rPr>
      <w:t xml:space="preserve"> </w:t>
    </w:r>
    <w:hyperlink r:id="rId5">
      <w:r w:rsidDel="00000000" w:rsidR="00000000" w:rsidRPr="00000000">
        <w:rPr>
          <w:color w:val="0563c1"/>
          <w:sz w:val="16"/>
          <w:szCs w:val="16"/>
          <w:u w:val="single"/>
          <w:rtl w:val="0"/>
        </w:rPr>
        <w:t xml:space="preserve">ulapnatsec@gmail.com</w:t>
      </w:r>
    </w:hyperlink>
    <w:r w:rsidDel="00000000" w:rsidR="00000000" w:rsidRPr="00000000">
      <w:rPr>
        <w:sz w:val="16"/>
        <w:szCs w:val="16"/>
        <w:rtl w:val="0"/>
      </w:rPr>
      <w:t xml:space="preserve">, </w:t>
    </w:r>
    <w:hyperlink r:id="rId6">
      <w:r w:rsidDel="00000000" w:rsidR="00000000" w:rsidRPr="00000000">
        <w:rPr>
          <w:color w:val="0563c1"/>
          <w:sz w:val="16"/>
          <w:szCs w:val="16"/>
          <w:u w:val="single"/>
          <w:rtl w:val="0"/>
        </w:rPr>
        <w:t xml:space="preserve">secretariat@ulap.net.ph</w:t>
      </w:r>
    </w:hyperlink>
    <w:r w:rsidDel="00000000" w:rsidR="00000000" w:rsidRPr="00000000">
      <w:rPr>
        <w:rtl w:val="0"/>
      </w:rPr>
    </w:r>
  </w:p>
  <w:p w:rsidR="00000000" w:rsidDel="00000000" w:rsidP="00000000" w:rsidRDefault="00000000" w:rsidRPr="00000000" w14:paraId="00000005">
    <w:pPr>
      <w:tabs>
        <w:tab w:val="center" w:leader="none" w:pos="4680"/>
        <w:tab w:val="right" w:leader="none" w:pos="9360"/>
      </w:tabs>
      <w:spacing w:line="240" w:lineRule="auto"/>
      <w:jc w:val="center"/>
      <w:rPr>
        <w:sz w:val="16"/>
        <w:szCs w:val="16"/>
      </w:rPr>
    </w:pPr>
    <w:r w:rsidDel="00000000" w:rsidR="00000000" w:rsidRPr="00000000">
      <w:rPr>
        <w:b w:val="1"/>
        <w:bCs w:val="1"/>
        <w:sz w:val="16"/>
        <w:szCs w:val="16"/>
        <w:rtl w:val="0"/>
      </w:rPr>
      <w:t xml:space="preserve">Website:</w:t>
    </w:r>
    <w:r w:rsidDel="00000000" w:rsidR="00000000" w:rsidRPr="00000000">
      <w:rPr>
        <w:sz w:val="16"/>
        <w:szCs w:val="16"/>
        <w:rtl w:val="0"/>
      </w:rPr>
      <w:t xml:space="preserve"> </w:t>
    </w:r>
    <w:hyperlink r:id="rId7">
      <w:r w:rsidDel="00000000" w:rsidR="00000000" w:rsidRPr="00000000">
        <w:rPr>
          <w:color w:val="0563c1"/>
          <w:sz w:val="16"/>
          <w:szCs w:val="16"/>
          <w:u w:val="single"/>
          <w:rtl w:val="0"/>
        </w:rPr>
        <w:t xml:space="preserve">www.ulap.net.ph</w:t>
      </w:r>
    </w:hyperlink>
    <w:r w:rsidDel="00000000" w:rsidR="00000000" w:rsidRPr="00000000">
      <w:rPr>
        <w:sz w:val="16"/>
        <w:szCs w:val="16"/>
        <w:rtl w:val="0"/>
      </w:rPr>
      <w:t xml:space="preserve"> </w:t>
    </w:r>
    <w:r w:rsidDel="00000000" w:rsidR="00000000" w:rsidRPr="00000000">
      <w:rPr>
        <w:b w:val="1"/>
        <w:bCs w:val="1"/>
        <w:sz w:val="16"/>
        <w:szCs w:val="16"/>
        <w:rtl w:val="0"/>
      </w:rPr>
      <w:t xml:space="preserve">Facebook:</w:t>
    </w:r>
    <w:r w:rsidDel="00000000" w:rsidR="00000000" w:rsidRPr="00000000">
      <w:rPr>
        <w:sz w:val="16"/>
        <w:szCs w:val="16"/>
        <w:rtl w:val="0"/>
      </w:rPr>
      <w:t xml:space="preserve"> </w:t>
    </w:r>
    <w:hyperlink r:id="rId8">
      <w:r w:rsidDel="00000000" w:rsidR="00000000" w:rsidRPr="00000000">
        <w:rPr>
          <w:color w:val="0563c1"/>
          <w:sz w:val="16"/>
          <w:szCs w:val="16"/>
          <w:u w:val="single"/>
          <w:rtl w:val="0"/>
        </w:rPr>
        <w:t xml:space="preserve">www.facebook.com/ulap.net.ph</w:t>
      </w:r>
    </w:hyperlink>
    <w:r w:rsidDel="00000000" w:rsidR="00000000" w:rsidRPr="00000000">
      <w:rPr>
        <w:sz w:val="16"/>
        <w:szCs w:val="16"/>
        <w:rtl w:val="0"/>
      </w:rPr>
      <w:t xml:space="preserve"> </w:t>
    </w:r>
  </w:p>
  <w:p w:rsidR="00000000" w:rsidDel="00000000" w:rsidP="00000000" w:rsidRDefault="00000000" w:rsidRPr="00000000" w14:paraId="00000006">
    <w:pPr>
      <w:pBdr>
        <w:bottom w:color="000000" w:space="1" w:sz="6" w:val="single"/>
      </w:pBdr>
      <w:tabs>
        <w:tab w:val="center" w:leader="none" w:pos="4680"/>
        <w:tab w:val="right" w:leader="none" w:pos="9360"/>
      </w:tabs>
      <w:spacing w:line="240" w:lineRule="auto"/>
      <w:ind w:left="-1134" w:right="-1097" w:firstLine="0"/>
      <w:rPr>
        <w:b w:val="1"/>
        <w:bCs w:val="1"/>
        <w:color w:val="002060"/>
        <w:sz w:val="15"/>
        <w:szCs w:val="15"/>
      </w:rPr>
    </w:pPr>
    <w:r w:rsidDel="00000000" w:rsidR="00000000" w:rsidRPr="00000000">
      <w:rPr>
        <w:rtl w:val="0"/>
      </w:rPr>
    </w:r>
  </w:p>
  <w:p w:rsidR="00000000" w:rsidDel="00000000" w:rsidP="00000000" w:rsidRDefault="00000000" w:rsidRPr="00000000" w14:paraId="00000007">
    <w:pPr>
      <w:spacing w:after="160" w:line="259" w:lineRule="auto"/>
      <w:rPr>
        <w:rFonts w:ascii="Calibri" w:cs="Calibri" w:eastAsia="Calibri" w:hAnsi="Calibri"/>
      </w:rPr>
    </w:pPr>
    <w:r w:rsidDel="00000000" w:rsidR="00000000" w:rsidRPr="00000000">
      <w:rPr>
        <w:rtl w:val="0"/>
      </w:rPr>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hdr>
</file>

<file path=word/header2.xml><?xml version="1.0" encoding="utf-8"?>
<w:hdr xmlns:w="http://schemas.openxmlformats.org/wordprocessingml/2006/main">
  <w:p>
    <w:pPr>
      <w:pStyle w:val="Header"/>
    </w:pP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header" Target="header2.xml"/><Relationship Id="rId9" Type="http://schemas.openxmlformats.org/officeDocument/2006/relationships/footer" Target="footer2.xml"/></Relationships>
</file>

<file path=word/_rels/footer1.xml.rels><?xml version="1.0" encoding="UTF-8"?><Relationships xmlns="http://schemas.openxmlformats.org/package/2006/relationships"><Relationship Id="rId1" Type="http://schemas.openxmlformats.org/officeDocument/2006/relationships/image" Target="media/image1.png"/></Relationships>
</file>

<file path=word/_rels/header1.xml.rels><?xml version="1.0" encoding="UTF-8"?><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4.png"/><Relationship Id="rId3" Type="http://schemas.openxmlformats.org/officeDocument/2006/relationships/image" Target="media/image5.jpg"/><Relationship Id="rId4" Type="http://schemas.openxmlformats.org/officeDocument/2006/relationships/image" Target="media/image2.png"/><Relationship Id="rId5" Type="http://schemas.openxmlformats.org/officeDocument/2006/relationships/hyperlink" Target="about:blank" TargetMode="External"/><Relationship Id="rId6" Type="http://schemas.openxmlformats.org/officeDocument/2006/relationships/hyperlink" Target="about:blank" TargetMode="External"/><Relationship Id="rId7" Type="http://schemas.openxmlformats.org/officeDocument/2006/relationships/hyperlink" Target="about:blank" TargetMode="External"/><Relationship Id="rId8" Type="http://schemas.openxmlformats.org/officeDocument/2006/relationships/hyperlink" Target="about:blan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