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COCONUT FARMERS TRUST FUND AMENDMENTS</w:t>
      </w:r>
    </w:p>
    <w:p>
      <w:pPr>
        <w:spacing w:before="40" w:after="200" w:line="264" w:lineRule="auto"/>
        <w:jc w:val="center"/>
      </w:pPr>
      <w:r>
        <w:rPr>
          <w:rFonts w:ascii="Arial" w:hAnsi="Arial" w:cs="Arial"/>
          <w:b/>
          <w:bCs/>
          <w:sz w:val="24"/>
          <w:szCs w:val="24"/>
        </w:rPr>
        <w:t xml:space="preserve">(SENATE BILL NO. 1457 AND RELATED MEASURES AMENDING REPUBLIC ACT NO. 11524)</w:t>
      </w:r>
    </w:p>
    <w:p>
      <w:pPr>
        <w:spacing w:before="0" w:after="140" w:line="264" w:lineRule="auto"/>
        <w:jc w:val="both"/>
      </w:pPr>
      <w:r>
        <w:rPr>
          <w:rFonts w:ascii="Arial" w:hAnsi="Arial" w:cs="Arial"/>
          <w:sz w:val="20"/>
          <w:szCs w:val="20"/>
        </w:rPr>
        <w:t xml:space="preserve">The Union of Local Authorities of the Philippines (ULAP), as the national umbrella organization of local government units and local officials, supports amendments to the Coconut Farmers and Industry Trust Fund framework that improve farmer participation, sharpen beneficiary targeting, and strengthen local implementation of the Coconut Farmers and Industry Development Plan (CFIDP).</w:t>
      </w:r>
    </w:p>
    <w:p>
      <w:pPr>
        <w:spacing w:before="0" w:after="140" w:line="264" w:lineRule="auto"/>
        <w:jc w:val="both"/>
      </w:pPr>
      <w:r>
        <w:rPr>
          <w:rFonts w:ascii="Arial" w:hAnsi="Arial" w:cs="Arial"/>
          <w:sz w:val="20"/>
          <w:szCs w:val="20"/>
        </w:rPr>
        <w:t xml:space="preserve">The Trust Fund is a vehicle for correcting long-standing underinvestment in a sector that remains central to many provinces and municipalities. Coconut-producing LGUs confront aging trees, low productivity, weak farmgate bargaining power, limited processing capacity, climate exposure, and incomplete farmer registries. The national plan will succeed only if it reaches the farm and the household, and not only the central implementing agency.</w:t>
      </w:r>
    </w:p>
    <w:p>
      <w:pPr>
        <w:spacing w:before="0" w:after="140" w:line="264" w:lineRule="auto"/>
        <w:jc w:val="both"/>
      </w:pPr>
      <w:r>
        <w:rPr>
          <w:rFonts w:ascii="Arial" w:hAnsi="Arial" w:cs="Arial"/>
          <w:sz w:val="20"/>
          <w:szCs w:val="20"/>
        </w:rPr>
        <w:t xml:space="preserve">Republic Act No. 11524 created the national structure for the use of coconut levy assets. The open question is whether implementation will be sufficiently local. Provincial and municipal governments often know the farmers, the roads, the nurseries, the post-harvest gaps, the cooperatives that are functioning, and the projects that will fail for lack of maintenance. Recent moves toward local small coconut farmer councils and a revised CFIDP strengthen the case for statutory alignment with local participation.</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Provide structured LGU participation in provincial and municipal coconut industry planning.</w:t>
      </w:r>
    </w:p>
    <w:p>
      <w:pPr>
        <w:spacing w:before="0" w:after="140" w:line="264" w:lineRule="auto"/>
        <w:jc w:val="both"/>
      </w:pPr>
      <w:r>
        <w:rPr>
          <w:rFonts w:ascii="Arial" w:hAnsi="Arial" w:cs="Arial"/>
          <w:sz w:val="20"/>
          <w:szCs w:val="20"/>
        </w:rPr>
        <w:t xml:space="preserve">Provincial and municipal agriculturists should be consulted in the preparation, updating, and monitoring of localized CFIDP implementation plans, so that PCA policy direction is informed by field realities and local targeting needs. ULAP recommends that this consultative role be fixed in the statute rather than left to agency discretion.</w:t>
      </w:r>
    </w:p>
    <w:p>
      <w:pPr>
        <w:keepNext/>
        <w:spacing w:before="180" w:after="90" w:line="264" w:lineRule="auto"/>
        <w:jc w:val="both"/>
      </w:pPr>
      <w:r>
        <w:rPr>
          <w:rFonts w:ascii="Arial" w:hAnsi="Arial" w:cs="Arial"/>
          <w:b/>
          <w:bCs/>
          <w:sz w:val="20"/>
          <w:szCs w:val="20"/>
        </w:rPr>
        <w:t xml:space="preserve">2. Jointly validate the farmer registry.</w:t>
      </w:r>
    </w:p>
    <w:p>
      <w:pPr>
        <w:spacing w:before="0" w:after="140" w:line="264" w:lineRule="auto"/>
        <w:jc w:val="both"/>
      </w:pPr>
      <w:r>
        <w:rPr>
          <w:rFonts w:ascii="Arial" w:hAnsi="Arial" w:cs="Arial"/>
          <w:sz w:val="20"/>
          <w:szCs w:val="20"/>
        </w:rPr>
        <w:t xml:space="preserve">The National Coconut Farmers Registry System should be periodically updated through a process involving PCA, DA, barangays, cooperatives, municipal agriculturists, provincial agriculture offices, and recognized farmer organizations. Because the registry is the gateway to benefits, stale or incomplete data will divert assistance toward the better documented rather than the most deserving.</w:t>
      </w:r>
    </w:p>
    <w:p>
      <w:pPr>
        <w:keepNext/>
        <w:spacing w:before="180" w:after="90" w:line="264" w:lineRule="auto"/>
        <w:jc w:val="both"/>
      </w:pPr>
      <w:r>
        <w:rPr>
          <w:rFonts w:ascii="Arial" w:hAnsi="Arial" w:cs="Arial"/>
          <w:b/>
          <w:bCs/>
          <w:sz w:val="20"/>
          <w:szCs w:val="20"/>
        </w:rPr>
        <w:t xml:space="preserve">3. Make farmer representation meaningful but protected from local capture.</w:t>
      </w:r>
    </w:p>
    <w:p>
      <w:pPr>
        <w:spacing w:before="0" w:after="140" w:line="264" w:lineRule="auto"/>
        <w:jc w:val="both"/>
      </w:pPr>
      <w:r>
        <w:rPr>
          <w:rFonts w:ascii="Arial" w:hAnsi="Arial" w:cs="Arial"/>
          <w:sz w:val="20"/>
          <w:szCs w:val="20"/>
        </w:rPr>
        <w:t xml:space="preserve">Local farmer councils should include small coconut farmers, women farmers, youth or successor farmers where appropriate, cooperatives, and processors. Selection rules should be public, conflicts of interest should be disclosed, and councils should advise on needs and monitor delivery without displacing procurement and fund-release authority from the legally responsible agencies.</w:t>
      </w:r>
    </w:p>
    <w:p>
      <w:pPr>
        <w:keepNext/>
        <w:spacing w:before="180" w:after="90" w:line="264" w:lineRule="auto"/>
        <w:jc w:val="both"/>
      </w:pPr>
      <w:r>
        <w:rPr>
          <w:rFonts w:ascii="Arial" w:hAnsi="Arial" w:cs="Arial"/>
          <w:b/>
          <w:bCs/>
          <w:sz w:val="20"/>
          <w:szCs w:val="20"/>
        </w:rPr>
        <w:t xml:space="preserve">4. Converge Trust Fund-supported programs with LGU investments.</w:t>
      </w:r>
    </w:p>
    <w:p>
      <w:pPr>
        <w:spacing w:before="0" w:after="140" w:line="264" w:lineRule="auto"/>
        <w:jc w:val="both"/>
      </w:pPr>
      <w:r>
        <w:rPr>
          <w:rFonts w:ascii="Arial" w:hAnsi="Arial" w:cs="Arial"/>
          <w:sz w:val="20"/>
          <w:szCs w:val="20"/>
        </w:rPr>
        <w:t xml:space="preserve">Programs should link with LGU work on farm-to-market roads, nurseries, intercropping, livestock integration, drying, storage, shared service facilities, local enterprise promotion, and disaster recovery. Replanting alone will not transform the sector if it is not paired with extension, market access, pest management, and processing support.</w:t>
      </w:r>
    </w:p>
    <w:p>
      <w:pPr>
        <w:keepNext/>
        <w:spacing w:before="180" w:after="90" w:line="264" w:lineRule="auto"/>
        <w:jc w:val="both"/>
      </w:pPr>
      <w:r>
        <w:rPr>
          <w:rFonts w:ascii="Arial" w:hAnsi="Arial" w:cs="Arial"/>
          <w:b/>
          <w:bCs/>
          <w:sz w:val="20"/>
          <w:szCs w:val="20"/>
        </w:rPr>
        <w:t xml:space="preserve">5. Recognize the implementation costs that arise when LGUs are used as delivery partners.</w:t>
      </w:r>
    </w:p>
    <w:p>
      <w:pPr>
        <w:spacing w:before="0" w:after="140" w:line="264" w:lineRule="auto"/>
        <w:jc w:val="both"/>
      </w:pPr>
      <w:r>
        <w:rPr>
          <w:rFonts w:ascii="Arial" w:hAnsi="Arial" w:cs="Arial"/>
          <w:sz w:val="20"/>
          <w:szCs w:val="20"/>
        </w:rPr>
        <w:t xml:space="preserve">Data validation, training, beneficiary mobilization, monitoring, extension work, and meeting support require personnel, transport, and records systems. ULAP proposes that where these functions are mandated by law, the corresponding expenditures be made eligible for national funding or reimbursement.</w:t>
      </w:r>
    </w:p>
    <w:p>
      <w:pPr>
        <w:keepNext/>
        <w:spacing w:before="180" w:after="90" w:line="264" w:lineRule="auto"/>
        <w:jc w:val="both"/>
      </w:pPr>
      <w:r>
        <w:rPr>
          <w:rFonts w:ascii="Arial" w:hAnsi="Arial" w:cs="Arial"/>
          <w:b/>
          <w:bCs/>
          <w:sz w:val="20"/>
          <w:szCs w:val="20"/>
        </w:rPr>
        <w:t xml:space="preserve">6. Encourage inter-LGU clustering along the coconut value chain.</w:t>
      </w:r>
    </w:p>
    <w:p>
      <w:pPr>
        <w:spacing w:before="0" w:after="140" w:line="264" w:lineRule="auto"/>
        <w:jc w:val="both"/>
      </w:pPr>
      <w:r>
        <w:rPr>
          <w:rFonts w:ascii="Arial" w:hAnsi="Arial" w:cs="Arial"/>
          <w:sz w:val="20"/>
          <w:szCs w:val="20"/>
        </w:rPr>
        <w:t xml:space="preserve">Coconut value chains often exceed municipal boundaries. Shared processing centers, consolidation hubs, testing facilities, nurseries, and logistics routes may be more viable at the provincial, district, or cluster level. The statute should expressly recognize inter-LGU cooperation under the Local Government Code as an implementation mode.</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amendments that move the Coconut Farmers Trust Fund from allocation to actual delivery. The measure will matter most where it strengthens the coconut farmer in the places the industry is actually lived: the barangay, the farm, the cooperative, the municipal agriculture office, and the local market.</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