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THE PROPOSED eBOTIKA ACT</w:t>
      </w:r>
    </w:p>
    <w:p>
      <w:pPr>
        <w:spacing w:before="40" w:after="200" w:line="264" w:lineRule="auto"/>
        <w:jc w:val="center"/>
      </w:pPr>
      <w:r>
        <w:rPr>
          <w:rFonts w:ascii="Arial" w:hAnsi="Arial" w:cs="Arial"/>
          <w:b/>
          <w:bCs/>
          <w:sz w:val="24"/>
          <w:szCs w:val="24"/>
        </w:rPr>
        <w:t xml:space="preserve">(HOUSE BILL NOS. 4789 AND 6163)</w:t>
      </w:r>
    </w:p>
    <w:p>
      <w:pPr>
        <w:spacing w:before="0" w:after="140" w:line="264" w:lineRule="auto"/>
        <w:jc w:val="both"/>
      </w:pPr>
      <w:r>
        <w:rPr>
          <w:rFonts w:ascii="Arial" w:hAnsi="Arial" w:cs="Arial"/>
          <w:sz w:val="20"/>
          <w:szCs w:val="20"/>
        </w:rPr>
        <w:t xml:space="preserve">ULAP supports the objective of improving safe and convenient access to medicines through properly regulated online pharmacies. Experience during and after the COVID-19 period, particularly for senior citizens, persons with disabilities, immunocompromised patients, and residents of geographically isolated areas, shows the value of legitimate digital pharmacy channels. The measure must not, at the same time, create new risks from falsified medicines, weak platform accountability, privacy breaches, or regulatory provisions that unintentionally reduce access by over-concentrating the market.</w:t>
      </w:r>
    </w:p>
    <w:p>
      <w:pPr>
        <w:spacing w:before="0" w:after="140" w:line="264" w:lineRule="auto"/>
        <w:jc w:val="both"/>
      </w:pPr>
      <w:r>
        <w:rPr>
          <w:rFonts w:ascii="Arial" w:hAnsi="Arial" w:cs="Arial"/>
          <w:sz w:val="20"/>
          <w:szCs w:val="20"/>
        </w:rPr>
        <w:t xml:space="preserve">ULAP may support the proposed eBotika Act in principle, provided that the bill is amended to preserve FDA-led product safety oversight and pharmacist accountability, respect existing LGU powers on business permitting, zoning, fire safety, sanitary regulation, and local public-health enforcement, adopt risk-based entry standards instead of rigid capitalization and regional-presence thresholds, require workable e-prescription, data-privacy, logistics, and platform-accountability safeguards, and ensure that implementation does not impose unfunded or impracticable obligations on LGUs.</w:t>
      </w:r>
    </w:p>
    <w:p>
      <w:pPr>
        <w:keepNext/>
        <w:spacing w:before="220" w:after="100" w:line="264" w:lineRule="auto"/>
        <w:jc w:val="left"/>
      </w:pPr>
      <w:r>
        <w:rPr>
          <w:rFonts w:ascii="Arial" w:hAnsi="Arial" w:cs="Arial"/>
          <w:b/>
          <w:bCs/>
          <w:sz w:val="20"/>
          <w:szCs w:val="20"/>
        </w:rPr>
        <w:t xml:space="preserve">Key LGU Considerations</w:t>
      </w:r>
    </w:p>
    <w:p>
      <w:pPr>
        <w:keepNext/>
        <w:spacing w:before="180" w:after="90" w:line="264" w:lineRule="auto"/>
        <w:jc w:val="both"/>
      </w:pPr>
      <w:r>
        <w:rPr>
          <w:rFonts w:ascii="Arial" w:hAnsi="Arial" w:cs="Arial"/>
          <w:b/>
          <w:bCs/>
          <w:sz w:val="20"/>
          <w:szCs w:val="20"/>
        </w:rPr>
        <w:t xml:space="preserve">1. Local autonomy and existing local regulatory powers.</w:t>
      </w:r>
    </w:p>
    <w:p>
      <w:pPr>
        <w:spacing w:before="0" w:after="140" w:line="264" w:lineRule="auto"/>
        <w:jc w:val="both"/>
      </w:pPr>
      <w:r>
        <w:rPr>
          <w:rFonts w:ascii="Arial" w:hAnsi="Arial" w:cs="Arial"/>
          <w:sz w:val="20"/>
          <w:szCs w:val="20"/>
        </w:rPr>
        <w:t xml:space="preserve">Online-pharmacy licensing by the Food and Drug Administration should complement, not displace, lawful LGU authority over business permits, land use and zoning, warehouse location, fire and sanitary clearances, local nuisance regulation, and local emergency and public-health enforcement.</w:t>
      </w:r>
    </w:p>
    <w:p>
      <w:pPr>
        <w:keepNext/>
        <w:spacing w:before="180" w:after="90" w:line="264" w:lineRule="auto"/>
        <w:jc w:val="both"/>
      </w:pPr>
      <w:r>
        <w:rPr>
          <w:rFonts w:ascii="Arial" w:hAnsi="Arial" w:cs="Arial"/>
          <w:b/>
          <w:bCs/>
          <w:sz w:val="20"/>
          <w:szCs w:val="20"/>
        </w:rPr>
        <w:t xml:space="preserve">2. Access and competition.</w:t>
      </w:r>
    </w:p>
    <w:p>
      <w:pPr>
        <w:spacing w:before="0" w:after="140" w:line="264" w:lineRule="auto"/>
        <w:jc w:val="both"/>
      </w:pPr>
      <w:r>
        <w:rPr>
          <w:rFonts w:ascii="Arial" w:hAnsi="Arial" w:cs="Arial"/>
          <w:sz w:val="20"/>
          <w:szCs w:val="20"/>
        </w:rPr>
        <w:t xml:space="preserve">The bill's public-health objective is sound. Extremely high capitalization thresholds and mandatory multi-region presence requirements, however, may exclude smaller compliant players, reduce competition, and weaken medicine access in places where logistics are already thin.</w:t>
      </w:r>
    </w:p>
    <w:p>
      <w:pPr>
        <w:keepNext/>
        <w:spacing w:before="180" w:after="90" w:line="264" w:lineRule="auto"/>
        <w:jc w:val="both"/>
      </w:pPr>
      <w:r>
        <w:rPr>
          <w:rFonts w:ascii="Arial" w:hAnsi="Arial" w:cs="Arial"/>
          <w:b/>
          <w:bCs/>
          <w:sz w:val="20"/>
          <w:szCs w:val="20"/>
        </w:rPr>
        <w:t xml:space="preserve">3. Enforcement and consumer protection.</w:t>
      </w:r>
    </w:p>
    <w:p>
      <w:pPr>
        <w:spacing w:before="0" w:after="140" w:line="264" w:lineRule="auto"/>
        <w:jc w:val="both"/>
      </w:pPr>
      <w:r>
        <w:rPr>
          <w:rFonts w:ascii="Arial" w:hAnsi="Arial" w:cs="Arial"/>
          <w:sz w:val="20"/>
          <w:szCs w:val="20"/>
        </w:rPr>
        <w:t xml:space="preserve">The bill should clearly allocate responsibilities among the FDA, DTI, DICT, DOJ and NBI, PDEA where applicable, e-commerce platforms, logistics providers, and the licensed eBotika. LGUs should not be left to absorb complaint handling or field-enforcement burdens without clear authority, protocols, and support.</w:t>
      </w:r>
    </w:p>
    <w:p>
      <w:pPr>
        <w:keepNext/>
        <w:spacing w:before="180" w:after="90" w:line="264" w:lineRule="auto"/>
        <w:jc w:val="both"/>
      </w:pPr>
      <w:r>
        <w:rPr>
          <w:rFonts w:ascii="Arial" w:hAnsi="Arial" w:cs="Arial"/>
          <w:b/>
          <w:bCs/>
          <w:sz w:val="20"/>
          <w:szCs w:val="20"/>
        </w:rPr>
        <w:t xml:space="preserve">4. Patient safety, e-prescriptions, and privacy.</w:t>
      </w:r>
    </w:p>
    <w:p>
      <w:pPr>
        <w:spacing w:before="0" w:after="140" w:line="264" w:lineRule="auto"/>
        <w:jc w:val="both"/>
      </w:pPr>
      <w:r>
        <w:rPr>
          <w:rFonts w:ascii="Arial" w:hAnsi="Arial" w:cs="Arial"/>
          <w:sz w:val="20"/>
          <w:szCs w:val="20"/>
        </w:rPr>
        <w:t xml:space="preserve">Electronic prescriptions and medication profiles can improve efficiency, but standards must be interoperable, verifiable, and compliant with the Data Privacy Act. Verification rules should protect safety without creating unnecessary delays for legitimate patients, especially in rural or emergency contexts.</w:t>
      </w:r>
    </w:p>
    <w:p>
      <w:pPr>
        <w:keepNext/>
        <w:spacing w:before="180" w:after="90" w:line="264" w:lineRule="auto"/>
        <w:jc w:val="both"/>
      </w:pPr>
      <w:r>
        <w:rPr>
          <w:rFonts w:ascii="Arial" w:hAnsi="Arial" w:cs="Arial"/>
          <w:b/>
          <w:bCs/>
          <w:sz w:val="20"/>
          <w:szCs w:val="20"/>
        </w:rPr>
        <w:t xml:space="preserve">5. Storage and delivery standards.</w:t>
      </w:r>
    </w:p>
    <w:p>
      <w:pPr>
        <w:spacing w:before="0" w:after="140" w:line="264" w:lineRule="auto"/>
        <w:jc w:val="both"/>
      </w:pPr>
      <w:r>
        <w:rPr>
          <w:rFonts w:ascii="Arial" w:hAnsi="Arial" w:cs="Arial"/>
          <w:sz w:val="20"/>
          <w:szCs w:val="20"/>
        </w:rPr>
        <w:t xml:space="preserve">Good Distribution Practices, Good Storage Practices, and cold-chain rules are essential. These standards should be enforceable across warehouses, couriers, and third-party platforms, with traceability rules for recalls, complaints, and suspected counterfeit products.</w:t>
      </w:r>
    </w:p>
    <w:p>
      <w:pPr>
        <w:keepNext/>
        <w:spacing w:before="220" w:after="100" w:line="264" w:lineRule="auto"/>
        <w:jc w:val="left"/>
      </w:pPr>
      <w:r>
        <w:rPr>
          <w:rFonts w:ascii="Arial" w:hAnsi="Arial" w:cs="Arial"/>
          <w:b/>
          <w:bCs/>
          <w:sz w:val="20"/>
          <w:szCs w:val="20"/>
        </w:rPr>
        <w:t xml:space="preserve">Recommended Amendments and Safeguards</w:t>
      </w:r>
    </w:p>
    <w:p>
      <w:pPr>
        <w:keepNext/>
        <w:spacing w:before="180" w:after="90" w:line="264" w:lineRule="auto"/>
        <w:jc w:val="both"/>
      </w:pPr>
      <w:r>
        <w:rPr>
          <w:rFonts w:ascii="Arial" w:hAnsi="Arial" w:cs="Arial"/>
          <w:b/>
          <w:bCs/>
          <w:sz w:val="20"/>
          <w:szCs w:val="20"/>
        </w:rPr>
        <w:t xml:space="preserve">1. Replace fixed capitalization and regional-presence thresholds with risk-based licensing criteria.</w:t>
      </w:r>
    </w:p>
    <w:p>
      <w:pPr>
        <w:spacing w:before="0" w:after="140" w:line="264" w:lineRule="auto"/>
        <w:jc w:val="both"/>
      </w:pPr>
      <w:r>
        <w:rPr>
          <w:rFonts w:ascii="Arial" w:hAnsi="Arial" w:cs="Arial"/>
          <w:sz w:val="20"/>
          <w:szCs w:val="20"/>
        </w:rPr>
        <w:t xml:space="preserve">Sections 6 and 7 should be revised. Instead of requiring Php100 million capitalization rising to Php200 million and physical presence in at least ten regions, Congress should empower the FDA to set proportional standards based on product type, storage conditions, delivery footprint, technology controls, and compliance history.</w:t>
      </w:r>
    </w:p>
    <w:p>
      <w:pPr>
        <w:keepNext/>
        <w:spacing w:before="180" w:after="90" w:line="264" w:lineRule="auto"/>
        <w:jc w:val="both"/>
      </w:pPr>
      <w:r>
        <w:rPr>
          <w:rFonts w:ascii="Arial" w:hAnsi="Arial" w:cs="Arial"/>
          <w:b/>
          <w:bCs/>
          <w:sz w:val="20"/>
          <w:szCs w:val="20"/>
        </w:rPr>
        <w:t xml:space="preserve">2. Clarify that FDA online-pharmacy licensing does not supersede local permits and clearances.</w:t>
      </w:r>
    </w:p>
    <w:p>
      <w:pPr>
        <w:spacing w:before="0" w:after="140" w:line="264" w:lineRule="auto"/>
        <w:jc w:val="both"/>
      </w:pPr>
      <w:r>
        <w:rPr>
          <w:rFonts w:ascii="Arial" w:hAnsi="Arial" w:cs="Arial"/>
          <w:sz w:val="20"/>
          <w:szCs w:val="20"/>
        </w:rPr>
        <w:t xml:space="preserve">The bill should expressly require compliance with applicable LGU business-permit, zoning, fire-safety, sanitary, and local warehouse rules, while preventing duplicative national-local processes.</w:t>
      </w:r>
    </w:p>
    <w:p>
      <w:pPr>
        <w:keepNext/>
        <w:spacing w:before="180" w:after="90" w:line="264" w:lineRule="auto"/>
        <w:jc w:val="both"/>
      </w:pPr>
      <w:r>
        <w:rPr>
          <w:rFonts w:ascii="Arial" w:hAnsi="Arial" w:cs="Arial"/>
          <w:b/>
          <w:bCs/>
          <w:sz w:val="20"/>
          <w:szCs w:val="20"/>
        </w:rPr>
        <w:t xml:space="preserve">3. Narrow and define platform liability.</w:t>
      </w:r>
    </w:p>
    <w:p>
      <w:pPr>
        <w:spacing w:before="0" w:after="140" w:line="264" w:lineRule="auto"/>
        <w:jc w:val="both"/>
      </w:pPr>
      <w:r>
        <w:rPr>
          <w:rFonts w:ascii="Arial" w:hAnsi="Arial" w:cs="Arial"/>
          <w:sz w:val="20"/>
          <w:szCs w:val="20"/>
        </w:rPr>
        <w:t xml:space="preserve">E-commerce platforms and social-media marketplaces that host medicine sales should be required to verify that sellers hold a valid FDA License to Operate as an eBotika, remove illegal listings promptly upon notice, maintain traceable seller records, and cooperate with enforcement authorities.</w:t>
      </w:r>
    </w:p>
    <w:p>
      <w:pPr>
        <w:keepNext/>
        <w:spacing w:before="180" w:after="90" w:line="264" w:lineRule="auto"/>
        <w:jc w:val="both"/>
      </w:pPr>
      <w:r>
        <w:rPr>
          <w:rFonts w:ascii="Arial" w:hAnsi="Arial" w:cs="Arial"/>
          <w:b/>
          <w:bCs/>
          <w:sz w:val="20"/>
          <w:szCs w:val="20"/>
        </w:rPr>
        <w:t xml:space="preserve">4. Calibrate prescription-verification requirements.</w:t>
      </w:r>
    </w:p>
    <w:p>
      <w:pPr>
        <w:spacing w:before="0" w:after="140" w:line="264" w:lineRule="auto"/>
        <w:jc w:val="both"/>
      </w:pPr>
      <w:r>
        <w:rPr>
          <w:rFonts w:ascii="Arial" w:hAnsi="Arial" w:cs="Arial"/>
          <w:sz w:val="20"/>
          <w:szCs w:val="20"/>
        </w:rPr>
        <w:t xml:space="preserve">The bill should allow secure, auditable verification mechanisms rather than requiring burdensome manual confirmation in all cases. Congress may direct the FDA and PRC to develop interoperable verification rules for e-prescriptions, physician identity, prescription validity, and antimicrobial controls.</w:t>
      </w:r>
    </w:p>
    <w:p>
      <w:pPr>
        <w:keepNext/>
        <w:spacing w:before="180" w:after="90" w:line="264" w:lineRule="auto"/>
        <w:jc w:val="both"/>
      </w:pPr>
      <w:r>
        <w:rPr>
          <w:rFonts w:ascii="Arial" w:hAnsi="Arial" w:cs="Arial"/>
          <w:b/>
          <w:bCs/>
          <w:sz w:val="20"/>
          <w:szCs w:val="20"/>
        </w:rPr>
        <w:t xml:space="preserve">5. Strengthen privacy and cybersecurity safeguards.</w:t>
      </w:r>
    </w:p>
    <w:p>
      <w:pPr>
        <w:spacing w:before="0" w:after="140" w:line="264" w:lineRule="auto"/>
        <w:jc w:val="both"/>
      </w:pPr>
      <w:r>
        <w:rPr>
          <w:rFonts w:ascii="Arial" w:hAnsi="Arial" w:cs="Arial"/>
          <w:sz w:val="20"/>
          <w:szCs w:val="20"/>
        </w:rPr>
        <w:t xml:space="preserve">The measure should require minimum data-security standards, breach notification, purpose limitation, retention limits, and clear accountability for patient medication profiles and uploaded IDs or booklets.</w:t>
      </w:r>
    </w:p>
    <w:p>
      <w:pPr>
        <w:keepNext/>
        <w:spacing w:before="180" w:after="90" w:line="264" w:lineRule="auto"/>
        <w:jc w:val="both"/>
      </w:pPr>
      <w:r>
        <w:rPr>
          <w:rFonts w:ascii="Arial" w:hAnsi="Arial" w:cs="Arial"/>
          <w:b/>
          <w:bCs/>
          <w:sz w:val="20"/>
          <w:szCs w:val="20"/>
        </w:rPr>
        <w:t xml:space="preserve">6. Provide an implementation and transition framework.</w:t>
      </w:r>
    </w:p>
    <w:p>
      <w:pPr>
        <w:spacing w:before="0" w:after="140" w:line="264" w:lineRule="auto"/>
        <w:jc w:val="both"/>
      </w:pPr>
      <w:r>
        <w:rPr>
          <w:rFonts w:ascii="Arial" w:hAnsi="Arial" w:cs="Arial"/>
          <w:sz w:val="20"/>
          <w:szCs w:val="20"/>
        </w:rPr>
        <w:t xml:space="preserve">The implementing rules should include phased compliance, technical assistance, and coordination protocols with LGUs, particularly for complaint handling, local inspection referrals, and warehouse-level concerns.</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stronger regulation of online pharmacies because patient safety, medicine quality, and legitimate access must all be protected in the digital marketplace. The proposed eBotika Act should be amended so that it remains pro-patient, pro-safety, and pro-competition without diminishing local autonomy or creating impractical entry and compliance burdens. Subject to these amendments, ULAP may support the measure.</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