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COMMENTS ON THE DRAFT DEPARTMENT PERSONNEL ORDER</w:t>
      </w:r>
    </w:p>
    <w:p>
      <w:pPr>
        <w:spacing w:before="40" w:after="200" w:line="264" w:lineRule="auto"/>
        <w:jc w:val="center"/>
      </w:pPr>
      <w:r>
        <w:rPr>
          <w:rFonts w:ascii="Arial" w:hAnsi="Arial" w:cs="Arial"/>
          <w:b/>
          <w:bCs/>
          <w:sz w:val="24"/>
          <w:szCs w:val="24"/>
        </w:rPr>
        <w:t xml:space="preserve">CREATING THE NATIONAL TECHNICAL WORKING GROUP ON HEALTHY WORKPLACES</w:t>
      </w:r>
    </w:p>
    <w:p>
      <w:pPr>
        <w:spacing w:before="0" w:after="140" w:line="264" w:lineRule="auto"/>
        <w:jc w:val="both"/>
      </w:pPr>
      <w:r>
        <w:rPr>
          <w:rFonts w:ascii="Arial" w:hAnsi="Arial" w:cs="Arial"/>
          <w:sz w:val="20"/>
          <w:szCs w:val="20"/>
        </w:rPr>
        <w:t xml:space="preserve">ULAP supports the creation of a national coordination mechanism for healthy workplaces. A multi-sectoral technical working group can help align occupational health, health promotion, mental health, wellness, and prevention measures across national agencies, local governments, and public and private workplaces.</w:t>
      </w:r>
    </w:p>
    <w:p>
      <w:pPr>
        <w:spacing w:before="0" w:after="140" w:line="264" w:lineRule="auto"/>
        <w:jc w:val="both"/>
      </w:pPr>
      <w:r>
        <w:rPr>
          <w:rFonts w:ascii="Arial" w:hAnsi="Arial" w:cs="Arial"/>
          <w:sz w:val="20"/>
          <w:szCs w:val="20"/>
        </w:rPr>
        <w:t xml:space="preserve">ULAP recommends revisions clarifying that its participation is consultative and coordinative, and does not assume implementation, enforcement, or compliance obligations on behalf of LGUs. The DPO should also recognize the need for funding, technical assistance, and flexible local implementation models.</w:t>
      </w:r>
    </w:p>
    <w:p>
      <w:pPr>
        <w:keepNext/>
        <w:spacing w:before="220" w:after="100" w:line="264" w:lineRule="auto"/>
        <w:jc w:val="left"/>
      </w:pPr>
      <w:r>
        <w:rPr>
          <w:rFonts w:ascii="Arial" w:hAnsi="Arial" w:cs="Arial"/>
          <w:b/>
          <w:bCs/>
          <w:sz w:val="20"/>
          <w:szCs w:val="20"/>
        </w:rPr>
        <w:t xml:space="preserve">Recommended Comments</w:t>
      </w:r>
    </w:p>
    <w:p>
      <w:pPr>
        <w:spacing w:before="0" w:after="140" w:line="264" w:lineRule="auto"/>
        <w:jc w:val="both"/>
      </w:pPr>
      <w:r>
        <w:rPr>
          <w:rFonts w:ascii="Arial" w:hAnsi="Arial" w:cs="Arial"/>
          <w:sz w:val="20"/>
          <w:szCs w:val="20"/>
        </w:rPr>
        <w:t xml:space="preserve">Confirm ULAP representation through formal designation by the authorized ULAP officer and allow an alternate representative to attend when the principal representative is unavailable.</w:t>
      </w:r>
    </w:p>
    <w:p>
      <w:pPr>
        <w:spacing w:before="0" w:after="140" w:line="264" w:lineRule="auto"/>
        <w:jc w:val="both"/>
      </w:pPr>
      <w:r>
        <w:rPr>
          <w:rFonts w:ascii="Arial" w:hAnsi="Arial" w:cs="Arial"/>
          <w:sz w:val="20"/>
          <w:szCs w:val="20"/>
        </w:rPr>
        <w:t xml:space="preserve">Clarify that ULAP's role in the NTWG is to provide policy inputs, help surface local-government implementation concerns, and coordinate with member leagues as appropriate, without creating direct enforcement or compliance obligations for ULAP.</w:t>
      </w:r>
    </w:p>
    <w:p>
      <w:pPr>
        <w:spacing w:before="0" w:after="140" w:line="264" w:lineRule="auto"/>
        <w:jc w:val="both"/>
      </w:pPr>
      <w:r>
        <w:rPr>
          <w:rFonts w:ascii="Arial" w:hAnsi="Arial" w:cs="Arial"/>
          <w:sz w:val="20"/>
          <w:szCs w:val="20"/>
        </w:rPr>
        <w:t xml:space="preserve">State that sub-national implementation should be led by the appropriate national agencies and regional offices in coordination with DILG, DOH Centers for Health Development, LGUs, and local health offices.</w:t>
      </w:r>
    </w:p>
    <w:p>
      <w:pPr>
        <w:spacing w:before="0" w:after="140" w:line="264" w:lineRule="auto"/>
        <w:jc w:val="both"/>
      </w:pPr>
      <w:r>
        <w:rPr>
          <w:rFonts w:ascii="Arial" w:hAnsi="Arial" w:cs="Arial"/>
          <w:sz w:val="20"/>
          <w:szCs w:val="20"/>
        </w:rPr>
        <w:t xml:space="preserve">Avoid language that may be read as imposing unfunded mandates on LGUs. Any expected local rollout, data collection, training, recognition program, or monitoring activity should be accompanied by templates, technical assistance, and funding support.</w:t>
      </w:r>
    </w:p>
    <w:p>
      <w:pPr>
        <w:spacing w:before="0" w:after="140" w:line="264" w:lineRule="auto"/>
        <w:jc w:val="both"/>
      </w:pPr>
      <w:r>
        <w:rPr>
          <w:rFonts w:ascii="Arial" w:hAnsi="Arial" w:cs="Arial"/>
          <w:sz w:val="20"/>
          <w:szCs w:val="20"/>
        </w:rPr>
        <w:t xml:space="preserve">Recognize differences among LGU workplaces, including provinces, cities, municipalities, barangays, hospitals, public markets, transport terminals, field offices, and emergency-response units.</w:t>
      </w:r>
    </w:p>
    <w:p>
      <w:pPr>
        <w:spacing w:before="0" w:after="140" w:line="264" w:lineRule="auto"/>
        <w:jc w:val="both"/>
      </w:pPr>
      <w:r>
        <w:rPr>
          <w:rFonts w:ascii="Arial" w:hAnsi="Arial" w:cs="Arial"/>
          <w:sz w:val="20"/>
          <w:szCs w:val="20"/>
        </w:rPr>
        <w:t xml:space="preserve">Include confidentiality, data privacy, and occupational-health safeguards for any reporting involving employee health status, wellness records, or workplace assessments.</w:t>
      </w:r>
    </w:p>
    <w:p>
      <w:pPr>
        <w:keepNext/>
        <w:spacing w:before="220" w:after="100" w:line="264" w:lineRule="auto"/>
        <w:jc w:val="left"/>
      </w:pPr>
      <w:r>
        <w:rPr>
          <w:rFonts w:ascii="Arial" w:hAnsi="Arial" w:cs="Arial"/>
          <w:b/>
          <w:bCs/>
          <w:sz w:val="20"/>
          <w:szCs w:val="20"/>
        </w:rPr>
        <w:t xml:space="preserve">Suggested Revision Language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ULAP participation in the NTWG shall be for policy consultation, coordination, and representation of local-government perspectives, without prejudice to the respective mandates of LGUs and without creating additional local obligations unless provided by law and supported by appropriate funding and technical assistance.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For sub-national implementation, the NTWG shall develop standard templates, capacity-building modules, referral protocols, and monitoring tools in coordination with DILG, DOH regional offices, LGUs, and local leagues, taking into account the diversity of local workplace settings and capacities.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DPO's objective and recommends that the final issuance explicitly protect local autonomy, clarify the consultative nature of ULAP participation, and ensure that any local implementation expectations are adequately funded and technically supported.</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