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PROPOSED AMENDMENTS TO THE</w:t>
      </w:r>
    </w:p>
    <w:p>
      <w:pPr>
        <w:spacing w:before="40" w:after="200" w:line="264" w:lineRule="auto"/>
        <w:jc w:val="center"/>
      </w:pPr>
      <w:r>
        <w:rPr>
          <w:rFonts w:ascii="Arial" w:hAnsi="Arial" w:cs="Arial"/>
          <w:b/>
          <w:bCs/>
          <w:sz w:val="24"/>
          <w:szCs w:val="24"/>
        </w:rPr>
        <w:t xml:space="preserve">INTELLECTUAL PROPERTY CODE OF THE PHILIPPINES (RA 8293)</w:t>
      </w:r>
    </w:p>
    <w:p>
      <w:pPr>
        <w:keepNext/>
        <w:spacing w:before="220" w:after="100" w:line="264" w:lineRule="auto"/>
        <w:jc w:val="left"/>
      </w:pPr>
      <w:r>
        <w:rPr>
          <w:rFonts w:ascii="Arial" w:hAnsi="Arial" w:cs="Arial"/>
          <w:b/>
          <w:bCs/>
          <w:sz w:val="20"/>
          <w:szCs w:val="20"/>
        </w:rPr>
        <w:t xml:space="preserve">Position</w:t>
      </w:r>
    </w:p>
    <w:p>
      <w:pPr>
        <w:spacing w:before="0" w:after="140" w:line="264" w:lineRule="auto"/>
        <w:jc w:val="both"/>
      </w:pPr>
      <w:r>
        <w:rPr>
          <w:rFonts w:ascii="Arial" w:hAnsi="Arial" w:cs="Arial"/>
          <w:sz w:val="20"/>
          <w:szCs w:val="20"/>
        </w:rPr>
        <w:t xml:space="preserve">The Union of Local Authorities of the Philippines (ULAP) supports the modernization of the country's intellectual property framework, including measures that strengthen the Intellectual Property Office of the Philippines (IPOPHL) and update protection for marks and other IP assets. Local governments, local creative communities, MSMEs, tourism enterprises, agricultural producers, and digital-service providers all stand to gain from an IP system that is accessible, predictable, and enforceable.</w:t>
      </w:r>
    </w:p>
    <w:p>
      <w:pPr>
        <w:spacing w:before="0" w:after="140" w:line="264" w:lineRule="auto"/>
        <w:jc w:val="both"/>
      </w:pPr>
      <w:r>
        <w:rPr>
          <w:rFonts w:ascii="Arial" w:hAnsi="Arial" w:cs="Arial"/>
          <w:sz w:val="20"/>
          <w:szCs w:val="20"/>
        </w:rPr>
        <w:t xml:space="preserve">ULAP is prepared to support the proposed amendments in principle, subject to safeguards on three points. New enforcement or administrative requirements should not create unfunded local burdens. IPOPHL services should be genuinely accessible outside Metro Manila. Rules on non-visible marks and digital systems should remain transparent, searchable, and protective of consumers and local enterprises.</w:t>
      </w:r>
    </w:p>
    <w:p>
      <w:pPr>
        <w:keepNext/>
        <w:spacing w:before="220" w:after="100" w:line="264" w:lineRule="auto"/>
        <w:jc w:val="left"/>
      </w:pPr>
      <w:r>
        <w:rPr>
          <w:rFonts w:ascii="Arial" w:hAnsi="Arial" w:cs="Arial"/>
          <w:b/>
          <w:bCs/>
          <w:sz w:val="20"/>
          <w:szCs w:val="20"/>
        </w:rPr>
        <w:t xml:space="preserve">Key LGU Considerations</w:t>
      </w:r>
    </w:p>
    <w:p>
      <w:pPr>
        <w:keepNext/>
        <w:spacing w:before="180" w:after="90" w:line="264" w:lineRule="auto"/>
        <w:jc w:val="both"/>
      </w:pPr>
      <w:r>
        <w:rPr>
          <w:rFonts w:ascii="Arial" w:hAnsi="Arial" w:cs="Arial"/>
          <w:b/>
          <w:bCs/>
          <w:sz w:val="20"/>
          <w:szCs w:val="20"/>
        </w:rPr>
        <w:t xml:space="preserve">Access for local creators and MSMEs.</w:t>
      </w:r>
    </w:p>
    <w:p>
      <w:pPr>
        <w:spacing w:before="0" w:after="140" w:line="264" w:lineRule="auto"/>
        <w:jc w:val="both"/>
      </w:pPr>
      <w:r>
        <w:rPr>
          <w:rFonts w:ascii="Arial" w:hAnsi="Arial" w:cs="Arial"/>
          <w:sz w:val="20"/>
          <w:szCs w:val="20"/>
        </w:rPr>
        <w:t xml:space="preserve">IP modernization should reach local innovators, creative workers, producers, tourism operators, cooperatives, and MSMEs through regional services, simplified guidance, and affordable support.</w:t>
      </w:r>
    </w:p>
    <w:p>
      <w:pPr>
        <w:keepNext/>
        <w:spacing w:before="180" w:after="90" w:line="264" w:lineRule="auto"/>
        <w:jc w:val="both"/>
      </w:pPr>
      <w:r>
        <w:rPr>
          <w:rFonts w:ascii="Arial" w:hAnsi="Arial" w:cs="Arial"/>
          <w:b/>
          <w:bCs/>
          <w:sz w:val="20"/>
          <w:szCs w:val="20"/>
        </w:rPr>
        <w:t xml:space="preserve">LGU role in enforcement.</w:t>
      </w:r>
    </w:p>
    <w:p>
      <w:pPr>
        <w:spacing w:before="0" w:after="140" w:line="264" w:lineRule="auto"/>
        <w:jc w:val="both"/>
      </w:pPr>
      <w:r>
        <w:rPr>
          <w:rFonts w:ascii="Arial" w:hAnsi="Arial" w:cs="Arial"/>
          <w:sz w:val="20"/>
          <w:szCs w:val="20"/>
        </w:rPr>
        <w:t xml:space="preserve">LGUs can assist through coordination, business-permit processes, market-monitoring referrals, and local enterprise support. They should not be assigned specialized IP enforcement duties without corresponding authority, training, and resources.</w:t>
      </w:r>
    </w:p>
    <w:p>
      <w:pPr>
        <w:keepNext/>
        <w:spacing w:before="180" w:after="90" w:line="264" w:lineRule="auto"/>
        <w:jc w:val="both"/>
      </w:pPr>
      <w:r>
        <w:rPr>
          <w:rFonts w:ascii="Arial" w:hAnsi="Arial" w:cs="Arial"/>
          <w:b/>
          <w:bCs/>
          <w:sz w:val="20"/>
          <w:szCs w:val="20"/>
        </w:rPr>
        <w:t xml:space="preserve">Non-visible marks.</w:t>
      </w:r>
    </w:p>
    <w:p>
      <w:pPr>
        <w:spacing w:before="0" w:after="140" w:line="264" w:lineRule="auto"/>
        <w:jc w:val="both"/>
      </w:pPr>
      <w:r>
        <w:rPr>
          <w:rFonts w:ascii="Arial" w:hAnsi="Arial" w:cs="Arial"/>
          <w:sz w:val="20"/>
          <w:szCs w:val="20"/>
        </w:rPr>
        <w:t xml:space="preserve">Protection for non-visible marks should carry clear standards, public notice, registry searchability, and safeguards against consumer confusion or anti-competitive use.</w:t>
      </w:r>
    </w:p>
    <w:p>
      <w:pPr>
        <w:keepNext/>
        <w:spacing w:before="180" w:after="90" w:line="264" w:lineRule="auto"/>
        <w:jc w:val="both"/>
      </w:pPr>
      <w:r>
        <w:rPr>
          <w:rFonts w:ascii="Arial" w:hAnsi="Arial" w:cs="Arial"/>
          <w:b/>
          <w:bCs/>
          <w:sz w:val="20"/>
          <w:szCs w:val="20"/>
        </w:rPr>
        <w:t xml:space="preserve">Public-sector digital services.</w:t>
      </w:r>
    </w:p>
    <w:p>
      <w:pPr>
        <w:spacing w:before="0" w:after="140" w:line="264" w:lineRule="auto"/>
        <w:jc w:val="both"/>
      </w:pPr>
      <w:r>
        <w:rPr>
          <w:rFonts w:ascii="Arial" w:hAnsi="Arial" w:cs="Arial"/>
          <w:sz w:val="20"/>
          <w:szCs w:val="20"/>
        </w:rPr>
        <w:t xml:space="preserve">Any digital filing, registry, or enforcement platform should be secure, interoperable, and accessible to LGUs and local stakeholders that need verification or guidance.</w:t>
      </w:r>
    </w:p>
    <w:p>
      <w:pPr>
        <w:keepNext/>
        <w:spacing w:before="180" w:after="90" w:line="264" w:lineRule="auto"/>
        <w:jc w:val="both"/>
      </w:pPr>
      <w:r>
        <w:rPr>
          <w:rFonts w:ascii="Arial" w:hAnsi="Arial" w:cs="Arial"/>
          <w:b/>
          <w:bCs/>
          <w:sz w:val="20"/>
          <w:szCs w:val="20"/>
        </w:rPr>
        <w:t xml:space="preserve">Local development impact.</w:t>
      </w:r>
    </w:p>
    <w:p>
      <w:pPr>
        <w:spacing w:before="0" w:after="140" w:line="264" w:lineRule="auto"/>
        <w:jc w:val="both"/>
      </w:pPr>
      <w:r>
        <w:rPr>
          <w:rFonts w:ascii="Arial" w:hAnsi="Arial" w:cs="Arial"/>
          <w:sz w:val="20"/>
          <w:szCs w:val="20"/>
        </w:rPr>
        <w:t xml:space="preserve">The amendments should support local creative economies, innovation hubs, product branding, geographical-indication readiness, and tourism-linked enterprise development.</w:t>
      </w:r>
    </w:p>
    <w:p>
      <w:pPr>
        <w:keepNext/>
        <w:spacing w:before="220" w:after="100" w:line="264" w:lineRule="auto"/>
        <w:jc w:val="left"/>
      </w:pPr>
      <w:r>
        <w:rPr>
          <w:rFonts w:ascii="Arial" w:hAnsi="Arial" w:cs="Arial"/>
          <w:b/>
          <w:bCs/>
          <w:sz w:val="20"/>
          <w:szCs w:val="20"/>
        </w:rPr>
        <w:t xml:space="preserve">Recommended Comments and Revisions</w:t>
      </w:r>
    </w:p>
    <w:p>
      <w:pPr>
        <w:spacing w:before="0" w:after="140" w:line="264" w:lineRule="auto"/>
        <w:jc w:val="both"/>
      </w:pPr>
      <w:r>
        <w:rPr>
          <w:rFonts w:ascii="Arial" w:hAnsi="Arial" w:cs="Arial"/>
          <w:sz w:val="20"/>
          <w:szCs w:val="20"/>
        </w:rPr>
        <w:t xml:space="preserve">ULAP recommends an IPOPHL local access strategy covering regional desks, online support, LGU-facing guidance materials, and capacity-building for local economic development and investment offices.</w:t>
      </w:r>
    </w:p>
    <w:p>
      <w:pPr>
        <w:spacing w:before="0" w:after="140" w:line="264" w:lineRule="auto"/>
        <w:jc w:val="both"/>
      </w:pPr>
      <w:r>
        <w:rPr>
          <w:rFonts w:ascii="Arial" w:hAnsi="Arial" w:cs="Arial"/>
          <w:sz w:val="20"/>
          <w:szCs w:val="20"/>
        </w:rPr>
        <w:t xml:space="preserve">The measure should clarify that any LGU participation in IP enforcement is limited to coordination and referral unless a specific statutory mandate, funding, training, and procedure are provided.</w:t>
      </w:r>
    </w:p>
    <w:p>
      <w:pPr>
        <w:spacing w:before="0" w:after="140" w:line="264" w:lineRule="auto"/>
        <w:jc w:val="both"/>
      </w:pPr>
      <w:r>
        <w:rPr>
          <w:rFonts w:ascii="Arial" w:hAnsi="Arial" w:cs="Arial"/>
          <w:sz w:val="20"/>
          <w:szCs w:val="20"/>
        </w:rPr>
        <w:t xml:space="preserve">Standards for non-visible marks should be sufficiently clear for registry examiners, businesses, consumers, and enforcement bodies, including publication and searchability mechanisms.</w:t>
      </w:r>
    </w:p>
    <w:p>
      <w:pPr>
        <w:spacing w:before="0" w:after="140" w:line="264" w:lineRule="auto"/>
        <w:jc w:val="both"/>
      </w:pPr>
      <w:r>
        <w:rPr>
          <w:rFonts w:ascii="Arial" w:hAnsi="Arial" w:cs="Arial"/>
          <w:sz w:val="20"/>
          <w:szCs w:val="20"/>
        </w:rPr>
        <w:t xml:space="preserve">Local MSMEs should be protected from disproportionate compliance costs through templates, advisories, help desks, and transition periods for new procedures.</w:t>
      </w:r>
    </w:p>
    <w:p>
      <w:pPr>
        <w:spacing w:before="0" w:after="140" w:line="264" w:lineRule="auto"/>
        <w:jc w:val="both"/>
      </w:pPr>
      <w:r>
        <w:rPr>
          <w:rFonts w:ascii="Arial" w:hAnsi="Arial" w:cs="Arial"/>
          <w:sz w:val="20"/>
          <w:szCs w:val="20"/>
        </w:rPr>
        <w:t xml:space="preserve">Digital registries and enforcement data should comply with data-privacy and cybersecurity requirements and support legitimate verification by LGUs and local stakeholders.</w:t>
      </w:r>
    </w:p>
    <w:p>
      <w:pPr>
        <w:spacing w:before="0" w:after="140" w:line="264" w:lineRule="auto"/>
        <w:jc w:val="both"/>
      </w:pPr>
      <w:r>
        <w:rPr>
          <w:rFonts w:ascii="Arial" w:hAnsi="Arial" w:cs="Arial"/>
          <w:sz w:val="20"/>
          <w:szCs w:val="20"/>
        </w:rPr>
        <w:t xml:space="preserve">IPOPHL should be encouraged to partner with LGUs and the leagues in promoting IP awareness for local products, culture-based enterprises, tourism assets, and creative industries.</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balanced IP modernization. The amendments should strengthen IPOPHL and improve protection of IP rights while keeping the system accessible to local communities and avoiding unfunded enforcement burdens on LGUs.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