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PROPOSED</w:t>
      </w:r>
    </w:p>
    <w:p>
      <w:pPr>
        <w:spacing w:before="40" w:after="200" w:line="264" w:lineRule="auto"/>
        <w:jc w:val="center"/>
      </w:pPr>
      <w:r>
        <w:rPr>
          <w:rFonts w:ascii="Arial" w:hAnsi="Arial" w:cs="Arial"/>
          <w:b/>
          <w:bCs/>
          <w:sz w:val="24"/>
          <w:szCs w:val="24"/>
        </w:rPr>
        <w:t xml:space="preserve">CORPORATE SOCIAL RESPONSIBILITY ACT</w:t>
      </w:r>
    </w:p>
    <w:p>
      <w:pPr>
        <w:keepNext/>
        <w:spacing w:before="220" w:after="100" w:line="264" w:lineRule="auto"/>
        <w:jc w:val="left"/>
      </w:pPr>
      <w:r>
        <w:rPr>
          <w:rFonts w:ascii="Arial" w:hAnsi="Arial" w:cs="Arial"/>
          <w:b/>
          <w:bCs/>
          <w:sz w:val="20"/>
          <w:szCs w:val="20"/>
        </w:rPr>
        <w:t xml:space="preserve">Position</w:t>
      </w:r>
    </w:p>
    <w:p>
      <w:pPr>
        <w:spacing w:before="0" w:after="140" w:line="264" w:lineRule="auto"/>
        <w:jc w:val="both"/>
      </w:pPr>
      <w:r>
        <w:rPr>
          <w:rFonts w:ascii="Arial" w:hAnsi="Arial" w:cs="Arial"/>
          <w:sz w:val="20"/>
          <w:szCs w:val="20"/>
        </w:rPr>
        <w:t xml:space="preserve">The Union of Local Authorities of the Philippines (ULAP) supports the objective of encouraging corporate social responsibility (CSR) and aligning private-sector contributions with inclusive local development. Where it is transparent, locally coordinated, and responsive to community priorities, CSR can strengthen local resilience, education, health, livelihood, disaster response, climate adaptation, and social services.</w:t>
      </w:r>
    </w:p>
    <w:p>
      <w:pPr>
        <w:spacing w:before="0" w:after="140" w:line="264" w:lineRule="auto"/>
        <w:jc w:val="both"/>
      </w:pPr>
      <w:r>
        <w:rPr>
          <w:rFonts w:ascii="Arial" w:hAnsi="Arial" w:cs="Arial"/>
          <w:sz w:val="20"/>
          <w:szCs w:val="20"/>
        </w:rPr>
        <w:t xml:space="preserve">ULAP is prepared to support the proposed Corporate Social Responsibility Act in principle, provided that the framework remains incentive-based, respects local development planning, and includes LGU coordination without creating unfunded local administrative burdens. The Act should also safeguard against CSR being used as a substitute for taxes, regulatory compliance, labor standards, environmental obligations, or required impact mitigation.</w:t>
      </w:r>
    </w:p>
    <w:p>
      <w:pPr>
        <w:keepNext/>
        <w:spacing w:before="220" w:after="100" w:line="264" w:lineRule="auto"/>
        <w:jc w:val="left"/>
      </w:pPr>
      <w:r>
        <w:rPr>
          <w:rFonts w:ascii="Arial" w:hAnsi="Arial" w:cs="Arial"/>
          <w:b/>
          <w:bCs/>
          <w:sz w:val="20"/>
          <w:szCs w:val="20"/>
        </w:rPr>
        <w:t xml:space="preserve">Key LGU Considerations</w:t>
      </w:r>
    </w:p>
    <w:p>
      <w:pPr>
        <w:keepNext/>
        <w:spacing w:before="180" w:after="90" w:line="264" w:lineRule="auto"/>
        <w:jc w:val="both"/>
      </w:pPr>
      <w:r>
        <w:rPr>
          <w:rFonts w:ascii="Arial" w:hAnsi="Arial" w:cs="Arial"/>
          <w:b/>
          <w:bCs/>
          <w:sz w:val="20"/>
          <w:szCs w:val="20"/>
        </w:rPr>
        <w:t xml:space="preserve">Local development alignment.</w:t>
      </w:r>
    </w:p>
    <w:p>
      <w:pPr>
        <w:spacing w:before="0" w:after="140" w:line="264" w:lineRule="auto"/>
        <w:jc w:val="both"/>
      </w:pPr>
      <w:r>
        <w:rPr>
          <w:rFonts w:ascii="Arial" w:hAnsi="Arial" w:cs="Arial"/>
          <w:sz w:val="20"/>
          <w:szCs w:val="20"/>
        </w:rPr>
        <w:t xml:space="preserve">CSR projects should be encouraged to align with Provincial, City, Municipal, and Barangay Development Plans, Local Development Investment Programs, DRRM plans, climate plans, health plans, and education priorities.</w:t>
      </w:r>
    </w:p>
    <w:p>
      <w:pPr>
        <w:keepNext/>
        <w:spacing w:before="180" w:after="90" w:line="264" w:lineRule="auto"/>
        <w:jc w:val="both"/>
      </w:pPr>
      <w:r>
        <w:rPr>
          <w:rFonts w:ascii="Arial" w:hAnsi="Arial" w:cs="Arial"/>
          <w:b/>
          <w:bCs/>
          <w:sz w:val="20"/>
          <w:szCs w:val="20"/>
        </w:rPr>
        <w:t xml:space="preserve">Voluntary and incentive-based approach.</w:t>
      </w:r>
    </w:p>
    <w:p>
      <w:pPr>
        <w:spacing w:before="0" w:after="140" w:line="264" w:lineRule="auto"/>
        <w:jc w:val="both"/>
      </w:pPr>
      <w:r>
        <w:rPr>
          <w:rFonts w:ascii="Arial" w:hAnsi="Arial" w:cs="Arial"/>
          <w:sz w:val="20"/>
          <w:szCs w:val="20"/>
        </w:rPr>
        <w:t xml:space="preserve">CSR should encourage responsible business conduct and partnerships. It should not become a substitute for mandatory legal duties or an indirect charge on enterprises that may be passed on to local consumers or workers.</w:t>
      </w:r>
    </w:p>
    <w:p>
      <w:pPr>
        <w:keepNext/>
        <w:spacing w:before="180" w:after="90" w:line="264" w:lineRule="auto"/>
        <w:jc w:val="both"/>
      </w:pPr>
      <w:r>
        <w:rPr>
          <w:rFonts w:ascii="Arial" w:hAnsi="Arial" w:cs="Arial"/>
          <w:b/>
          <w:bCs/>
          <w:sz w:val="20"/>
          <w:szCs w:val="20"/>
        </w:rPr>
        <w:t xml:space="preserve">Transparency and accountability.</w:t>
      </w:r>
    </w:p>
    <w:p>
      <w:pPr>
        <w:spacing w:before="0" w:after="140" w:line="264" w:lineRule="auto"/>
        <w:jc w:val="both"/>
      </w:pPr>
      <w:r>
        <w:rPr>
          <w:rFonts w:ascii="Arial" w:hAnsi="Arial" w:cs="Arial"/>
          <w:sz w:val="20"/>
          <w:szCs w:val="20"/>
        </w:rPr>
        <w:t xml:space="preserve">CSR partnerships involving LGUs should carry clear project descriptions, beneficiaries, valuation of contributions, reporting, conflict-of-interest controls, and anti-patronage safeguards.</w:t>
      </w:r>
    </w:p>
    <w:p>
      <w:pPr>
        <w:keepNext/>
        <w:spacing w:before="180" w:after="90" w:line="264" w:lineRule="auto"/>
        <w:jc w:val="both"/>
      </w:pPr>
      <w:r>
        <w:rPr>
          <w:rFonts w:ascii="Arial" w:hAnsi="Arial" w:cs="Arial"/>
          <w:b/>
          <w:bCs/>
          <w:sz w:val="20"/>
          <w:szCs w:val="20"/>
        </w:rPr>
        <w:t xml:space="preserve">No unfunded LGU burden.</w:t>
      </w:r>
    </w:p>
    <w:p>
      <w:pPr>
        <w:spacing w:before="0" w:after="140" w:line="264" w:lineRule="auto"/>
        <w:jc w:val="both"/>
      </w:pPr>
      <w:r>
        <w:rPr>
          <w:rFonts w:ascii="Arial" w:hAnsi="Arial" w:cs="Arial"/>
          <w:sz w:val="20"/>
          <w:szCs w:val="20"/>
        </w:rPr>
        <w:t xml:space="preserve">LGUs should not be required to create new offices, registries, certifications, or monitoring systems without funding, templates, and technical support.</w:t>
      </w:r>
    </w:p>
    <w:p>
      <w:pPr>
        <w:keepNext/>
        <w:spacing w:before="180" w:after="90" w:line="264" w:lineRule="auto"/>
        <w:jc w:val="both"/>
      </w:pPr>
      <w:r>
        <w:rPr>
          <w:rFonts w:ascii="Arial" w:hAnsi="Arial" w:cs="Arial"/>
          <w:b/>
          <w:bCs/>
          <w:sz w:val="20"/>
          <w:szCs w:val="20"/>
        </w:rPr>
        <w:t xml:space="preserve">Support for local MSMEs and cooperatives.</w:t>
      </w:r>
    </w:p>
    <w:p>
      <w:pPr>
        <w:spacing w:before="0" w:after="140" w:line="264" w:lineRule="auto"/>
        <w:jc w:val="both"/>
      </w:pPr>
      <w:r>
        <w:rPr>
          <w:rFonts w:ascii="Arial" w:hAnsi="Arial" w:cs="Arial"/>
          <w:sz w:val="20"/>
          <w:szCs w:val="20"/>
        </w:rPr>
        <w:t xml:space="preserve">The framework should not favor only large corporations. It should also encourage partnerships that strengthen local suppliers, cooperatives, social enterprises, farmers, fisherfolk, and community-based organizations.</w:t>
      </w:r>
    </w:p>
    <w:p>
      <w:pPr>
        <w:keepNext/>
        <w:spacing w:before="220" w:after="100" w:line="264" w:lineRule="auto"/>
        <w:jc w:val="left"/>
      </w:pPr>
      <w:r>
        <w:rPr>
          <w:rFonts w:ascii="Arial" w:hAnsi="Arial" w:cs="Arial"/>
          <w:b/>
          <w:bCs/>
          <w:sz w:val="20"/>
          <w:szCs w:val="20"/>
        </w:rPr>
        <w:t xml:space="preserve">Recommended Comments and Revisions</w:t>
      </w:r>
    </w:p>
    <w:p>
      <w:pPr>
        <w:spacing w:before="0" w:after="140" w:line="264" w:lineRule="auto"/>
        <w:jc w:val="both"/>
      </w:pPr>
      <w:r>
        <w:rPr>
          <w:rFonts w:ascii="Arial" w:hAnsi="Arial" w:cs="Arial"/>
          <w:sz w:val="20"/>
          <w:szCs w:val="20"/>
        </w:rPr>
        <w:t xml:space="preserve">ULAP recommends that CSR projects undertaken in partnership with LGUs be coordinated with the concerned local chief executive and relevant local development bodies, without impairing local autonomy or procurement, budget, and auditing rules.</w:t>
      </w:r>
    </w:p>
    <w:p>
      <w:pPr>
        <w:spacing w:before="0" w:after="140" w:line="264" w:lineRule="auto"/>
        <w:jc w:val="both"/>
      </w:pPr>
      <w:r>
        <w:rPr>
          <w:rFonts w:ascii="Arial" w:hAnsi="Arial" w:cs="Arial"/>
          <w:sz w:val="20"/>
          <w:szCs w:val="20"/>
        </w:rPr>
        <w:t xml:space="preserve">The Act should clarify that CSR incentives do not excuse compliance with taxes, labor laws, environmental rules, consumer protection, permit conditions, or legally required mitigation and compensation measures.</w:t>
      </w:r>
    </w:p>
    <w:p>
      <w:pPr>
        <w:spacing w:before="0" w:after="140" w:line="264" w:lineRule="auto"/>
        <w:jc w:val="both"/>
      </w:pPr>
      <w:r>
        <w:rPr>
          <w:rFonts w:ascii="Arial" w:hAnsi="Arial" w:cs="Arial"/>
          <w:sz w:val="20"/>
          <w:szCs w:val="20"/>
        </w:rPr>
        <w:t xml:space="preserve">Model memoranda of agreement, reporting templates, conflict-of-interest safeguards, and disclosure rules should be provided for CSR projects involving LGUs or public facilities.</w:t>
      </w:r>
    </w:p>
    <w:p>
      <w:pPr>
        <w:spacing w:before="0" w:after="140" w:line="264" w:lineRule="auto"/>
        <w:jc w:val="both"/>
      </w:pPr>
      <w:r>
        <w:rPr>
          <w:rFonts w:ascii="Arial" w:hAnsi="Arial" w:cs="Arial"/>
          <w:sz w:val="20"/>
          <w:szCs w:val="20"/>
        </w:rPr>
        <w:t xml:space="preserve">CSR alignment with local plans should be encouraged while allowing LGUs to identify priority areas such as disaster resilience, public health, education, water and sanitation, digital access, livelihood, food security, and climate adaptation.</w:t>
      </w:r>
    </w:p>
    <w:p>
      <w:pPr>
        <w:spacing w:before="0" w:after="140" w:line="264" w:lineRule="auto"/>
        <w:jc w:val="both"/>
      </w:pPr>
      <w:r>
        <w:rPr>
          <w:rFonts w:ascii="Arial" w:hAnsi="Arial" w:cs="Arial"/>
          <w:sz w:val="20"/>
          <w:szCs w:val="20"/>
        </w:rPr>
        <w:t xml:space="preserve">New mandatory local registries or certifications should be avoided unless accompanied by funding and a simple national digital system accessible to LGUs and companies.</w:t>
      </w:r>
    </w:p>
    <w:p>
      <w:pPr>
        <w:spacing w:before="0" w:after="140" w:line="264" w:lineRule="auto"/>
        <w:jc w:val="both"/>
      </w:pPr>
      <w:r>
        <w:rPr>
          <w:rFonts w:ascii="Arial" w:hAnsi="Arial" w:cs="Arial"/>
          <w:sz w:val="20"/>
          <w:szCs w:val="20"/>
        </w:rPr>
        <w:t xml:space="preserve">Safeguards should ensure that CSR projects are needs-based, non-partisan, community-consulted, and not used to circumvent procurement, donation, or election rules.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an incentive-based CSR framework that strengthens local development partnerships. The bill should be refined to make CSR transparent, plan-aligned, and locally coordinated while preserving mandatory corporate obligations and avoiding unfunded LGU administrative burdens.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